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Massey Sally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9"/>
        <w:gridCol w:w="901"/>
        <w:gridCol w:w="771"/>
        <w:gridCol w:w="598"/>
        <w:gridCol w:w="347"/>
        <w:gridCol w:w="843"/>
        <w:gridCol w:w="453"/>
        <w:gridCol w:w="837"/>
        <w:gridCol w:w="1160"/>
        <w:gridCol w:w="99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15,397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8,199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Issuer's 401(k) Plan Trustee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87.02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23,065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23,065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23,065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granted under the issuer's incentive compensation plan. The restricted stock unit award vests in equal 1/3 installments on each of the first, second and third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 award granted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 becomes exercisable in one-third increments beginning on the first anniversary of the September 16,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5662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3593</Characters>
  <CharactersWithSpaces>4164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