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doc4.xml.htm"/>
      <w:bookmarkStart w:id="1" w:name="ksdoc4"/>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c>
                <w:tcPr>
                  <w:tcW w:w="3452" w:type="dxa"/>
                  <w:tcBorders/>
                  <w:vAlign w:val="center"/>
                </w:tcPr>
                <w:p>
                  <w:pPr>
                    <w:pStyle w:val="TableContents"/>
                    <w:bidi w:val="0"/>
                    <w:spacing w:before="0" w:after="283"/>
                    <w:jc w:val="left"/>
                  </w:pPr>
                  <w:hyperlink r:id="rId4">
                    <w:r>
                      <w:rPr>
                        <w:rStyle w:val="InternetLink"/>
                      </w:rPr>
                      <w:t>Wallace Noel R.</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COLGATE-PALMOLIVE COMPANY</w:t>
                  </w:r>
                </w:p>
              </w:tc>
            </w:tr>
            <w:t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COLGATE PALMOLIVE CO</w:t>
              </w:r>
            </w:hyperlink>
            <w:r>
              <w:t xml:space="preserve"> [ </w:t>
            </w:r>
            <w:r>
              <w:rPr>
                <w:rFonts w:ascii="Times;serif" w:hAnsi="Times;serif"/>
                <w:color w:val="0000FF"/>
                <w:sz w:val="24"/>
                <w:shd w:fill="FFFFFF" w:val="clear"/>
              </w:rPr>
              <w:t>CL</w:t>
            </w:r>
            <w: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&amp; CEO</w:t>
                  </w:r>
                </w:p>
              </w:tc>
            </w:tr>
          </w:tbl>
          <w:p>
            <w:pPr>
              <w:pStyle w:val="TableContents"/>
              <w:bidi w:val="0"/>
              <w:spacing w:before="0" w:after="283"/>
              <w:jc w:val="left"/>
              <w:rPr>
                <w:sz w:val="4"/>
                <w:szCs w:val="4"/>
              </w:rPr>
            </w:pPr>
            <w:r>
              <w:rPr>
                <w:sz w:val="4"/>
                <w:szCs w:val="4"/>
              </w:rPr>
            </w:r>
          </w:p>
        </w:tc>
      </w:tr>
      <w:tr>
        <w:tc>
          <w:tcPr>
            <w:tcW w:w="3572"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11/05/2026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2"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8"/>
        <w:gridCol w:w="928"/>
        <w:gridCol w:w="796"/>
        <w:gridCol w:w="616"/>
        <w:gridCol w:w="344"/>
        <w:gridCol w:w="919"/>
        <w:gridCol w:w="426"/>
        <w:gridCol w:w="1101"/>
        <w:gridCol w:w="1128"/>
        <w:gridCol w:w="975"/>
        <w:gridCol w:w="94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8" w:type="dxa"/>
            <w:vMerge w:val="continue"/>
            <w:tcBorders>
              <w:left w:val="single" w:sz="6" w:space="0" w:color="808080"/>
              <w:bottom w:val="single" w:sz="2" w:space="0" w:color="808080"/>
              <w:right w:val="single" w:sz="6" w:space="0" w:color="808080"/>
            </w:tcBorders>
          </w:tcPr>
          <w:p>
            <w:pPr>
              <w:pStyle w:val="Normal"/>
              <w:bidi w:val="0"/>
              <w:jc w:val="left"/>
            </w:pPr>
            <w:r/>
          </w:p>
        </w:tc>
        <w:tc>
          <w:tcPr>
            <w:tcW w:w="928" w:type="dxa"/>
            <w:vMerge w:val="continue"/>
            <w:tcBorders>
              <w:left w:val="single" w:sz="2" w:space="0" w:color="808080"/>
              <w:bottom w:val="single" w:sz="2" w:space="0" w:color="808080"/>
              <w:right w:val="single" w:sz="6" w:space="0" w:color="808080"/>
            </w:tcBorders>
          </w:tcPr>
          <w:p>
            <w:pPr>
              <w:pStyle w:val="Normal"/>
              <w:bidi w:val="0"/>
              <w:jc w:val="left"/>
            </w:pPr>
            <w:r/>
          </w:p>
        </w:tc>
        <w:tc>
          <w:tcPr>
            <w:tcW w:w="796" w:type="dxa"/>
            <w:vMerge w:val="continue"/>
            <w:tcBorders>
              <w:left w:val="single" w:sz="2" w:space="0" w:color="808080"/>
              <w:bottom w:val="single" w:sz="2" w:space="0" w:color="808080"/>
              <w:right w:val="single" w:sz="6" w:space="0" w:color="808080"/>
            </w:tcBorders>
          </w:tcPr>
          <w:p>
            <w:pPr>
              <w:pStyle w:val="Normal"/>
              <w:bidi w:val="0"/>
              <w:jc w:val="left"/>
            </w:p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pPr>
            <w:r/>
          </w:p>
        </w:tc>
        <w:tc>
          <w:tcPr>
            <w:tcW w:w="975" w:type="dxa"/>
            <w:vMerge w:val="continue"/>
            <w:tcBorders>
              <w:left w:val="single" w:sz="2" w:space="0" w:color="808080"/>
              <w:bottom w:val="single" w:sz="2" w:space="0" w:color="808080"/>
              <w:right w:val="single" w:sz="6" w:space="0" w:color="808080"/>
            </w:tcBorders>
          </w:tcPr>
          <w:p>
            <w:pPr>
              <w:pStyle w:val="Normal"/>
              <w:bidi w:val="0"/>
              <w:jc w:val="left"/>
            </w:pPr>
            <w:r/>
          </w:p>
        </w:tc>
        <w:tc>
          <w:tcPr>
            <w:tcW w:w="944"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100.2581</w:t>
            </w:r>
            <w:r>
              <w:rPr>
                <w:rFonts w:ascii="Times;serif" w:hAnsi="Times;serif"/>
                <w:color w:val="008000"/>
                <w:position w:val="7"/>
                <w:sz w:val="16"/>
                <w:sz w:val="20"/>
                <w:shd w:fill="FFFFFF" w:val="clear"/>
              </w:rPr>
              <w:t>(1)</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359,700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55,173</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Issuer's 401(k) Plan Trustee</w:t>
            </w:r>
          </w:p>
        </w:tc>
      </w:tr>
      <w:tr>
        <w:tc>
          <w:tcPr>
            <w:tcW w:w="20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 Trust</w:t>
            </w:r>
          </w:p>
        </w:tc>
      </w:tr>
      <w:tr>
        <w:tc>
          <w:tcPr>
            <w:tcW w:w="202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pPr>
            <w:r/>
          </w:p>
        </w:tc>
        <w:tc>
          <w:tcPr>
            <w:tcW w:w="861" w:type="dxa"/>
            <w:vMerge w:val="continue"/>
            <w:tcBorders>
              <w:left w:val="single" w:sz="2" w:space="0" w:color="808080"/>
              <w:bottom w:val="single" w:sz="6" w:space="0" w:color="808080"/>
              <w:right w:val="single" w:sz="6" w:space="0" w:color="808080"/>
            </w:tcBorders>
          </w:tcPr>
          <w:p>
            <w:pPr>
              <w:pStyle w:val="Normal"/>
              <w:bidi w:val="0"/>
              <w:jc w:val="left"/>
            </w:pPr>
            <w:r/>
          </w:p>
        </w:tc>
        <w:tc>
          <w:tcPr>
            <w:tcW w:w="891" w:type="dxa"/>
            <w:vMerge w:val="continue"/>
            <w:tcBorders>
              <w:left w:val="single" w:sz="2" w:space="0" w:color="808080"/>
              <w:bottom w:val="single" w:sz="6" w:space="0" w:color="808080"/>
              <w:right w:val="single" w:sz="6" w:space="0" w:color="808080"/>
            </w:tcBorders>
          </w:tcPr>
          <w:p>
            <w:pPr>
              <w:pStyle w:val="Normal"/>
              <w:bidi w:val="0"/>
              <w:jc w:val="left"/>
            </w:pPr>
            <w:r/>
          </w:p>
        </w:tc>
        <w:tc>
          <w:tcPr>
            <w:tcW w:w="771" w:type="dxa"/>
            <w:vMerge w:val="continue"/>
            <w:tcBorders>
              <w:left w:val="single" w:sz="2" w:space="0" w:color="808080"/>
              <w:bottom w:val="single" w:sz="6" w:space="0" w:color="808080"/>
              <w:right w:val="single" w:sz="6" w:space="0" w:color="808080"/>
            </w:tcBorders>
          </w:tcPr>
          <w:p>
            <w:pPr>
              <w:pStyle w:val="Normal"/>
              <w:bidi w:val="0"/>
              <w:jc w:val="left"/>
            </w:p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pPr>
            <w:r/>
          </w:p>
        </w:tc>
        <w:tc>
          <w:tcPr>
            <w:tcW w:w="936" w:type="dxa"/>
            <w:vMerge w:val="continue"/>
            <w:tcBorders>
              <w:left w:val="single" w:sz="2" w:space="0" w:color="808080"/>
              <w:bottom w:val="single" w:sz="6" w:space="0" w:color="808080"/>
              <w:right w:val="single" w:sz="6" w:space="0" w:color="808080"/>
            </w:tcBorders>
          </w:tcPr>
          <w:p>
            <w:pPr>
              <w:pStyle w:val="Normal"/>
              <w:bidi w:val="0"/>
              <w:jc w:val="left"/>
            </w:pPr>
            <w:r/>
          </w:p>
        </w:tc>
        <w:tc>
          <w:tcPr>
            <w:tcW w:w="831" w:type="dxa"/>
            <w:vMerge w:val="continue"/>
            <w:tcBorders>
              <w:left w:val="single" w:sz="2" w:space="0" w:color="808080"/>
              <w:bottom w:val="single" w:sz="6" w:space="0" w:color="808080"/>
              <w:right w:val="single" w:sz="6" w:space="0" w:color="808080"/>
            </w:tcBorders>
          </w:tcPr>
          <w:p>
            <w:pPr>
              <w:pStyle w:val="Normal"/>
              <w:bidi w:val="0"/>
              <w:jc w:val="left"/>
            </w:pPr>
            <w:r/>
          </w:p>
        </w:tc>
        <w:tc>
          <w:tcPr>
            <w:tcW w:w="846"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as these shares were sold in multiple transactions at prices ranging from $100.01 to $100.51, inclusive. The reporting person undertakes to provide to the issuer, any security holder of the issuer, or the staff of the Securities and Exchange Commission, upon request, additional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Kristine Hutchinson,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11/06/2026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4265" TargetMode="External"/><Relationship Id="rId5" Type="http://schemas.openxmlformats.org/officeDocument/2006/relationships/hyperlink" Target="http://www.sec.gov/cgi-bin/browse-edgar?action=getcompany&amp;CIK=00000216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3557</Characters>
  <CharactersWithSpaces>4132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