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0" w:lineRule="exact"/>
        <w:rPr>
          <w:sz w:val="24"/>
          <w:szCs w:val="24"/>
          <w:color w:val="auto"/>
        </w:rPr>
      </w:pPr>
    </w:p>
    <w:p>
      <w:pPr>
        <w:ind w:left="3780" w:right="1220" w:hanging="3333"/>
        <w:spacing w:after="0" w:line="350" w:lineRule="auto"/>
        <w:tabs>
          <w:tab w:leader="none" w:pos="17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b w:val="1"/>
          <w:bCs w:val="1"/>
          <w:color w:val="auto"/>
        </w:rPr>
        <w:t>September 30, 2026</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1780" w:hanging="1313"/>
        <w:spacing w:after="0"/>
        <w:tabs>
          <w:tab w:leader="none" w:pos="17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4" w:lineRule="exact"/>
        <w:rPr>
          <w:rFonts w:ascii="MS PGothic" w:cs="MS PGothic" w:eastAsia="MS PGothic" w:hAnsi="MS PGothic"/>
          <w:sz w:val="16"/>
          <w:szCs w:val="16"/>
          <w:color w:val="auto"/>
        </w:rPr>
      </w:pPr>
    </w:p>
    <w:p>
      <w:pPr>
        <w:ind w:left="4500" w:right="3520" w:hanging="431"/>
        <w:spacing w:after="0" w:line="336" w:lineRule="auto"/>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transition period from________ to________ . Commission File Number: 1-644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COLGATE-PALMOLIVE COMPANY</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9"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514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6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13-1815595</w:t>
            </w:r>
          </w:p>
        </w:tc>
      </w:tr>
      <w:tr>
        <w:trPr>
          <w:trHeight w:val="229"/>
        </w:trPr>
        <w:tc>
          <w:tcPr>
            <w:tcW w:w="514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460" w:type="dxa"/>
            <w:vAlign w:val="bottom"/>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567"/>
        </w:trPr>
        <w:tc>
          <w:tcPr>
            <w:tcW w:w="5140" w:type="dxa"/>
            <w:vAlign w:val="bottom"/>
          </w:tcPr>
          <w:p>
            <w:pPr>
              <w:jc w:val="center"/>
              <w:ind w:right="1519"/>
              <w:spacing w:after="0"/>
              <w:rPr>
                <w:sz w:val="20"/>
                <w:szCs w:val="20"/>
                <w:color w:val="auto"/>
              </w:rPr>
            </w:pPr>
            <w:r>
              <w:rPr>
                <w:rFonts w:ascii="Times New Roman" w:cs="Times New Roman" w:eastAsia="Times New Roman" w:hAnsi="Times New Roman"/>
                <w:sz w:val="16"/>
                <w:szCs w:val="16"/>
                <w:b w:val="1"/>
                <w:bCs w:val="1"/>
                <w:color w:val="auto"/>
              </w:rPr>
              <w:t>300 Park Avenue</w:t>
            </w:r>
          </w:p>
        </w:tc>
        <w:tc>
          <w:tcPr>
            <w:tcW w:w="3460" w:type="dxa"/>
            <w:vAlign w:val="bottom"/>
          </w:tcPr>
          <w:p>
            <w:pPr>
              <w:spacing w:after="0"/>
              <w:rPr>
                <w:sz w:val="24"/>
                <w:szCs w:val="24"/>
                <w:color w:val="auto"/>
              </w:rPr>
            </w:pPr>
          </w:p>
        </w:tc>
      </w:tr>
      <w:tr>
        <w:trPr>
          <w:trHeight w:val="229"/>
        </w:trPr>
        <w:tc>
          <w:tcPr>
            <w:tcW w:w="514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46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10022</w:t>
            </w:r>
          </w:p>
        </w:tc>
      </w:tr>
      <w:tr>
        <w:trPr>
          <w:trHeight w:val="229"/>
        </w:trPr>
        <w:tc>
          <w:tcPr>
            <w:tcW w:w="5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46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310-2000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CHANGES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60"/>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Pr>
          <w:p>
            <w:pPr>
              <w:spacing w:after="0"/>
              <w:rPr>
                <w:sz w:val="22"/>
                <w:szCs w:val="22"/>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CL</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30"/>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0.300%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CL29</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29"/>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1.375% Notes due 2034</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CL34</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30"/>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3.250% Notes due 2035</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CL35</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30"/>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0.875% Notes due 2039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CL39</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0" w:lineRule="exact"/>
        <w:rPr>
          <w:sz w:val="24"/>
          <w:szCs w:val="24"/>
          <w:color w:val="auto"/>
        </w:rPr>
      </w:pPr>
    </w:p>
    <w:p>
      <w:pPr>
        <w:spacing w:after="0" w:line="265" w:lineRule="exact"/>
        <w:rPr>
          <w:sz w:val="24"/>
          <w:szCs w:val="24"/>
          <w:color w:val="auto"/>
        </w:rPr>
      </w:pPr>
    </w:p>
    <w:p>
      <w:pPr>
        <w:jc w:val="both"/>
        <w:ind w:right="36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8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420" w:firstLine="324"/>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360" w:type="dxa"/>
        <w:tblCellMar>
          <w:top w:w="0" w:type="dxa"/>
          <w:left w:w="0" w:type="dxa"/>
          <w:bottom w:w="0" w:type="dxa"/>
          <w:right w:w="0" w:type="dxa"/>
        </w:tblCellMar>
      </w:tblPr>
      <w:tr>
        <w:trPr>
          <w:trHeight w:val="24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26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00" w:type="dxa"/>
            <w:vAlign w:val="bottom"/>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Outstanding</w:t>
            </w:r>
          </w:p>
        </w:tc>
        <w:tc>
          <w:tcPr>
            <w:tcW w:w="120" w:type="dxa"/>
            <w:vAlign w:val="bottom"/>
          </w:tcPr>
          <w:p>
            <w:pPr>
              <w:spacing w:after="0"/>
              <w:rPr>
                <w:sz w:val="18"/>
                <w:szCs w:val="18"/>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366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rPr>
              <w:t>794,920,513</w:t>
            </w:r>
          </w:p>
        </w:tc>
        <w:tc>
          <w:tcPr>
            <w:tcW w:w="120" w:type="dxa"/>
            <w:vAlign w:val="bottom"/>
          </w:tcPr>
          <w:p>
            <w:pPr>
              <w:spacing w:after="0"/>
              <w:rPr>
                <w:sz w:val="19"/>
                <w:szCs w:val="19"/>
                <w:color w:val="auto"/>
              </w:rPr>
            </w:pP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30, 2026</w:t>
            </w:r>
          </w:p>
        </w:tc>
      </w:tr>
      <w:tr>
        <w:trPr>
          <w:trHeight w:val="472"/>
        </w:trPr>
        <w:tc>
          <w:tcPr>
            <w:tcW w:w="3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939"/>
        </w:trPr>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398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2"/>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(Dollars in Millions Except Per Share Amounts)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86"/>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r>
      <w:tr>
        <w:trPr>
          <w:trHeight w:val="237"/>
        </w:trPr>
        <w:tc>
          <w:tcPr>
            <w:tcW w:w="6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38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37"/>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16,055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w:t>
            </w:r>
          </w:p>
        </w:tc>
      </w:tr>
      <w:tr>
        <w:trPr>
          <w:trHeight w:val="243"/>
        </w:trPr>
        <w:tc>
          <w:tcPr>
            <w:tcW w:w="5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w:t>
            </w:r>
          </w:p>
        </w:tc>
      </w:tr>
      <w:tr>
        <w:trPr>
          <w:trHeight w:val="237"/>
        </w:trPr>
        <w:tc>
          <w:tcPr>
            <w:tcW w:w="51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r>
      <w:tr>
        <w:trPr>
          <w:trHeight w:val="243"/>
        </w:trPr>
        <w:tc>
          <w:tcPr>
            <w:tcW w:w="5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43"/>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5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43"/>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5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5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43"/>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36"/>
        </w:trPr>
        <w:tc>
          <w:tcPr>
            <w:tcW w:w="5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3"/>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6"/>
        </w:trPr>
        <w:tc>
          <w:tcPr>
            <w:tcW w:w="5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Colgate-Palmolive Company</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5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4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5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4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4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Retirement plans and other retiree benefit adjustments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on cash flow hedges</w:t>
            </w:r>
          </w:p>
        </w:tc>
        <w:tc>
          <w:tcPr>
            <w:tcW w:w="8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including noncontrolling interests</w:t>
            </w: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Less: Cumulative translation adjustments attributable to</w:t>
            </w:r>
          </w:p>
        </w:tc>
        <w:tc>
          <w:tcPr>
            <w:tcW w:w="88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8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noncontrolling interests</w:t>
            </w:r>
          </w:p>
        </w:tc>
        <w:tc>
          <w:tcPr>
            <w:tcW w:w="8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69"/>
        </w:trPr>
        <w:tc>
          <w:tcPr>
            <w:tcW w:w="52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Comprehensive income attributable to Colgate-Palmolive</w:t>
            </w:r>
          </w:p>
        </w:tc>
        <w:tc>
          <w:tcPr>
            <w:tcW w:w="880" w:type="dxa"/>
            <w:vAlign w:val="bottom"/>
            <w:vMerge w:val="restart"/>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83"/>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5"/>
        </w:trPr>
        <w:tc>
          <w:tcPr>
            <w:tcW w:w="7920" w:type="dxa"/>
            <w:vAlign w:val="bottom"/>
            <w:gridSpan w:val="2"/>
          </w:tcPr>
          <w:p>
            <w:pPr>
              <w:jc w:val="center"/>
              <w:ind w:left="3230"/>
              <w:spacing w:after="0"/>
              <w:rPr>
                <w:sz w:val="20"/>
                <w:szCs w:val="20"/>
                <w:color w:val="auto"/>
              </w:rPr>
            </w:pPr>
            <w:r>
              <w:rPr>
                <w:rFonts w:ascii="Times New Roman" w:cs="Times New Roman" w:eastAsia="Times New Roman" w:hAnsi="Times New Roman"/>
                <w:sz w:val="18"/>
                <w:szCs w:val="18"/>
                <w:color w:val="auto"/>
                <w:w w:val="99"/>
              </w:rPr>
              <w:t>(Dollars in Millions Except Share and Per Share Amounts)</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7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 of allowances of $90 and $90, respectively)</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4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7"/>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4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r>
      <w:tr>
        <w:trPr>
          <w:trHeight w:val="237"/>
        </w:trPr>
        <w:tc>
          <w:tcPr>
            <w:tcW w:w="7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7"/>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payable within one-year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accruals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37"/>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37"/>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$1 par value (2,000,000,000 shares authorized, 1,465,706,360 shares issued)</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w:t>
            </w:r>
          </w:p>
        </w:tc>
      </w:tr>
      <w:tr>
        <w:trPr>
          <w:trHeight w:val="24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(28,450)</w:t>
            </w:r>
          </w:p>
        </w:tc>
      </w:tr>
      <w:tr>
        <w:trPr>
          <w:trHeight w:val="23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Colgate-Palmolive Company shareholders’ equity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62"/>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4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24"/>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2"/>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8"/>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7840" w:type="dxa"/>
            <w:vAlign w:val="bottom"/>
          </w:tcPr>
          <w:p>
            <w:pPr>
              <w:spacing w:after="0"/>
              <w:rPr>
                <w:sz w:val="23"/>
                <w:szCs w:val="23"/>
                <w:color w:val="auto"/>
              </w:rPr>
            </w:pPr>
          </w:p>
        </w:tc>
        <w:tc>
          <w:tcPr>
            <w:tcW w:w="28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23"/>
                <w:szCs w:val="23"/>
                <w:color w:val="auto"/>
              </w:rPr>
            </w:pPr>
          </w:p>
        </w:tc>
      </w:tr>
      <w:tr>
        <w:trPr>
          <w:trHeight w:val="243"/>
        </w:trPr>
        <w:tc>
          <w:tcPr>
            <w:tcW w:w="78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1"/>
                <w:szCs w:val="21"/>
                <w:color w:val="auto"/>
              </w:rPr>
            </w:pPr>
          </w:p>
        </w:tc>
      </w:tr>
      <w:tr>
        <w:trPr>
          <w:trHeight w:val="236"/>
        </w:trPr>
        <w:tc>
          <w:tcPr>
            <w:tcW w:w="78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20"/>
                <w:szCs w:val="20"/>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189"/>
        </w:trPr>
        <w:tc>
          <w:tcPr>
            <w:tcW w:w="78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Adjustments to reconcile net income including noncontrolling interests to net cash provided by</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7"/>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ERISA litigation matter</w:t>
            </w:r>
          </w:p>
        </w:tc>
        <w:tc>
          <w:tcPr>
            <w:tcW w:w="104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termination benefits, net of cash</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effects of changes in:</w:t>
            </w: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Receivables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other working capital</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7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operations</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 and investments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marketable securities and investments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for acquisition, net of cash acquired</w:t>
            </w:r>
          </w:p>
        </w:tc>
        <w:tc>
          <w:tcPr>
            <w:tcW w:w="10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 (repayment) less than 90 days, net</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of debt</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0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treasury shares</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6"/>
        </w:trPr>
        <w:tc>
          <w:tcPr>
            <w:tcW w:w="7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2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441"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right="980"/>
        <w:spacing w:after="0" w:line="299" w:lineRule="auto"/>
        <w:rPr>
          <w:sz w:val="20"/>
          <w:szCs w:val="20"/>
          <w:color w:val="auto"/>
        </w:rPr>
      </w:pPr>
      <w:r>
        <w:rPr>
          <w:rFonts w:ascii="Times New Roman" w:cs="Times New Roman" w:eastAsia="Times New Roman" w:hAnsi="Times New Roman"/>
          <w:sz w:val="16"/>
          <w:szCs w:val="16"/>
          <w:color w:val="auto"/>
        </w:rPr>
        <w:t>Balance, June 30, 2026 Net income</w:t>
      </w:r>
    </w:p>
    <w:p>
      <w:pPr>
        <w:spacing w:after="0" w:line="1" w:lineRule="exact"/>
        <w:rPr>
          <w:sz w:val="20"/>
          <w:szCs w:val="20"/>
          <w:color w:val="auto"/>
        </w:rPr>
      </w:pPr>
    </w:p>
    <w:p>
      <w:pPr>
        <w:ind w:left="20" w:right="580"/>
        <w:spacing w:after="0" w:line="245" w:lineRule="auto"/>
        <w:rPr>
          <w:sz w:val="20"/>
          <w:szCs w:val="20"/>
          <w:color w:val="auto"/>
        </w:rPr>
      </w:pPr>
      <w:r>
        <w:rPr>
          <w:rFonts w:ascii="Times New Roman" w:cs="Times New Roman" w:eastAsia="Times New Roman" w:hAnsi="Times New Roman"/>
          <w:sz w:val="16"/>
          <w:szCs w:val="16"/>
          <w:color w:val="auto"/>
        </w:rPr>
        <w:t>Other comprehensive income (loss), net of tax</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Dividends ($0.53 per share)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Treasury stock acquired</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2026</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p>
      <w:pPr>
        <w:spacing w:after="0" w:line="4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21590</wp:posOffset>
            </wp:positionV>
            <wp:extent cx="428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r>
              <w:rPr>
                <w:rFonts w:ascii="Times New Roman" w:cs="Times New Roman" w:eastAsia="Times New Roman" w:hAnsi="Times New Roman"/>
                <w:sz w:val="9"/>
                <w:szCs w:val="9"/>
                <w:color w:val="auto"/>
              </w:rPr>
              <w:t>(1)</w:t>
            </w:r>
          </w:p>
        </w:tc>
        <w:tc>
          <w:tcPr>
            <w:tcW w:w="140" w:type="dxa"/>
            <w:vAlign w:val="bottom"/>
          </w:tcPr>
          <w:p>
            <w:pPr>
              <w:spacing w:after="0"/>
              <w:rPr>
                <w:sz w:val="17"/>
                <w:szCs w:val="17"/>
                <w:color w:val="auto"/>
              </w:rPr>
            </w:pPr>
          </w:p>
        </w:tc>
        <w:tc>
          <w:tcPr>
            <w:tcW w:w="11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22"/>
        </w:trPr>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4,432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(28,931)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27,085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(3,816)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4"/>
                <w:szCs w:val="24"/>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4,474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27,415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-1610995</wp:posOffset>
            </wp:positionV>
            <wp:extent cx="699516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-1311275</wp:posOffset>
            </wp:positionV>
            <wp:extent cx="699516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24892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-916940</wp:posOffset>
            </wp:positionV>
            <wp:extent cx="699516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-625475</wp:posOffset>
            </wp:positionV>
            <wp:extent cx="699516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-334010</wp:posOffset>
            </wp:positionV>
            <wp:extent cx="699516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20"/>
            <w:col w:w="8380"/>
          </w:cols>
          <w:pgMar w:left="320" w:top="698" w:right="35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p>
      <w:pPr>
        <w:spacing w:after="0" w:line="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21590</wp:posOffset>
            </wp:positionV>
            <wp:extent cx="42862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Income (Loss)</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1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(3,924)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78"/>
        </w:trPr>
        <w:tc>
          <w:tcPr>
            <w:tcW w:w="2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Other comprehensive income</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net of tax</w:t>
            </w: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($0.52 per share)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27,051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(3,888)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firstLine="8"/>
        <w:spacing w:after="0" w:line="281" w:lineRule="auto"/>
        <w:tabs>
          <w:tab w:leader="none" w:pos="132"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Accumulated other comprehensive income (loss) includes cumulative translation losses of $3,337 at September 30, 2026 ($3,358 at September 30, 2025) and $3,292 at June 30, 2026 ($3,378 at June 30, 2025), respectively, and unrecognized retirement plan and other retiree benefits costs of $587 at September 30, 2026 ($586 at September 30, 2025) and $584 at June 30, 2026 ($595 at June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20"/>
          </w:cols>
          <w:pgMar w:left="320" w:top="698" w:right="359" w:bottom="1440" w:gutter="0" w:footer="0" w:header="0"/>
          <w:type w:val="continuous"/>
        </w:sectPr>
      </w:pPr>
    </w:p>
    <w:bookmarkStart w:id="6" w:name="page7"/>
    <w:bookmarkEnd w:id="6"/>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p>
      <w:pPr>
        <w:spacing w:after="0" w:line="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21590</wp:posOffset>
            </wp:positionV>
            <wp:extent cx="42862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Income (Loss)</w:t>
            </w:r>
            <w:r>
              <w:rPr>
                <w:rFonts w:ascii="Times New Roman" w:cs="Times New Roman" w:eastAsia="Times New Roman" w:hAnsi="Times New Roman"/>
                <w:sz w:val="18"/>
                <w:szCs w:val="18"/>
                <w:color w:val="auto"/>
                <w:w w:val="99"/>
                <w:vertAlign w:val="superscript"/>
              </w:rPr>
              <w:t>(1)</w:t>
            </w:r>
          </w:p>
        </w:tc>
        <w:tc>
          <w:tcPr>
            <w:tcW w:w="140" w:type="dxa"/>
            <w:vAlign w:val="bottom"/>
          </w:tcPr>
          <w:p>
            <w:pPr>
              <w:spacing w:after="0"/>
              <w:rPr>
                <w:sz w:val="17"/>
                <w:szCs w:val="17"/>
                <w:color w:val="auto"/>
              </w:rPr>
            </w:pPr>
          </w:p>
        </w:tc>
        <w:tc>
          <w:tcPr>
            <w:tcW w:w="11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26,595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b w:val="1"/>
                <w:bCs w:val="1"/>
                <w:color w:val="auto"/>
              </w:rPr>
              <w:t>(3,879)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311</w:t>
            </w:r>
          </w:p>
        </w:tc>
        <w:tc>
          <w:tcPr>
            <w:tcW w:w="0" w:type="dxa"/>
            <w:vAlign w:val="bottom"/>
          </w:tcPr>
          <w:p>
            <w:pPr>
              <w:spacing w:after="0"/>
              <w:rPr>
                <w:sz w:val="1"/>
                <w:szCs w:val="1"/>
                <w:color w:val="auto"/>
              </w:rPr>
            </w:pP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w:t>
            </w:r>
          </w:p>
        </w:tc>
        <w:tc>
          <w:tcPr>
            <w:tcW w:w="0" w:type="dxa"/>
            <w:vAlign w:val="bottom"/>
          </w:tcPr>
          <w:p>
            <w:pPr>
              <w:spacing w:after="0"/>
              <w:rPr>
                <w:sz w:val="1"/>
                <w:szCs w:val="1"/>
                <w:color w:val="auto"/>
              </w:rPr>
            </w:pPr>
          </w:p>
        </w:tc>
      </w:tr>
      <w:tr>
        <w:trPr>
          <w:trHeight w:val="178"/>
        </w:trPr>
        <w:tc>
          <w:tcPr>
            <w:tcW w:w="29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Other comprehensive income</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net of tax</w:t>
            </w: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($1.59 per share)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0" w:type="dxa"/>
            <w:vAlign w:val="bottom"/>
          </w:tcPr>
          <w:p>
            <w:pPr>
              <w:spacing w:after="0"/>
              <w:rPr>
                <w:sz w:val="1"/>
                <w:szCs w:val="1"/>
                <w:color w:val="auto"/>
              </w:rPr>
            </w:pPr>
          </w:p>
        </w:tc>
      </w:tr>
      <w:tr>
        <w:trPr>
          <w:trHeight w:val="23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6"/>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2026</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4,474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27,415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(3,866)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352</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21590</wp:posOffset>
            </wp:positionV>
            <wp:extent cx="4286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7"/>
                <w:szCs w:val="17"/>
                <w:color w:val="auto"/>
              </w:rPr>
            </w:pPr>
          </w:p>
        </w:tc>
        <w:tc>
          <w:tcPr>
            <w:tcW w:w="11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78"/>
        </w:trPr>
        <w:tc>
          <w:tcPr>
            <w:tcW w:w="2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Other comprehensive income (loss), net of</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($1.56 per share)</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4,284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firstLine="8"/>
        <w:spacing w:after="0" w:line="281" w:lineRule="auto"/>
        <w:tabs>
          <w:tab w:leader="none" w:pos="132"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Accumulated other comprehensive income (loss) includes cumulative translation losses of $3,337 at September 30, 2026 ($3,358 at September 30, 2025) and $3,351 at December 31, 2025 ($3,687 at December 31, 2024), respectively, and unrecognized retirement plan and other retiree benefits costs of $587 at September 30, 2026 ($586 at September 30, 2025) and $583 at December 31, 2025 ($605 at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1" w:right="519" w:bottom="1440" w:gutter="0" w:footer="0" w:header="0"/>
        </w:sectPr>
      </w:pPr>
    </w:p>
    <w:bookmarkStart w:id="7" w:name="page8"/>
    <w:bookmarkEnd w:id="7"/>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ind w:left="332"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Condensed Consolidated Financial Statements reflect all normal recurring adjustments which, in management’s opinion, are necessary for a fair statement of the results for interim periods. Results of operations for interim periods may not be representative of results to be expected for a full year. Note that certain columns and rows may not sum due to rounding. Colgate-Palmolive Company (together with its subsidiaries, the “Company” or “Colgate”) reclassifies certain prior year amounts, as applicable, to conform to the current year presentation.</w:t>
      </w:r>
    </w:p>
    <w:p>
      <w:pPr>
        <w:spacing w:after="0" w:line="206" w:lineRule="exact"/>
        <w:rPr>
          <w:rFonts w:ascii="Times New Roman" w:cs="Times New Roman" w:eastAsia="Times New Roman" w:hAnsi="Times New Roman"/>
          <w:sz w:val="18"/>
          <w:szCs w:val="18"/>
          <w:b w:val="1"/>
          <w:bCs w:val="1"/>
          <w:color w:val="auto"/>
        </w:rPr>
      </w:pPr>
    </w:p>
    <w:p>
      <w:pPr>
        <w:ind w:left="332"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complete set of financial statement notes, including the Company’s significant accounting policies, refer to the Company’s Annual Report on Form 10-K for the year ended December 31, 2025, filed with the Securities and Exchange Commission (the “SEC”).</w:t>
      </w:r>
    </w:p>
    <w:p>
      <w:pPr>
        <w:spacing w:after="0" w:line="18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ind w:left="332"/>
        <w:spacing w:after="0" w:line="266" w:lineRule="auto"/>
        <w:rPr>
          <w:sz w:val="20"/>
          <w:szCs w:val="20"/>
          <w:color w:val="auto"/>
        </w:rPr>
      </w:pPr>
      <w:r>
        <w:rPr>
          <w:rFonts w:ascii="Times New Roman" w:cs="Times New Roman" w:eastAsia="Times New Roman" w:hAnsi="Times New Roman"/>
          <w:sz w:val="18"/>
          <w:szCs w:val="18"/>
          <w:color w:val="auto"/>
        </w:rPr>
        <w:t>Provisions for certain expenses, including income taxes, advertising and consumer promotion, are based on full year assumptions and are included in the accompanying Condensed Consolidated Financial Statements in proportion with estimated annual tax rates, the passage of time or estimated annual sales, as applicable.</w:t>
      </w:r>
    </w:p>
    <w:p>
      <w:pPr>
        <w:spacing w:after="0" w:line="199"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rFonts w:ascii="Times New Roman" w:cs="Times New Roman" w:eastAsia="Times New Roman" w:hAnsi="Times New Roman"/>
          <w:sz w:val="18"/>
          <w:szCs w:val="18"/>
          <w:b w:val="1"/>
          <w:bCs w:val="1"/>
          <w:color w:val="auto"/>
        </w:rPr>
      </w:pPr>
    </w:p>
    <w:p>
      <w:pPr>
        <w:ind w:left="332"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accounting pronouncements issued or effective during 2026 that have had, or are expected to have, a material impact on the Company’s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71" w:right="359" w:bottom="1440" w:gutter="0" w:footer="0" w:header="0"/>
        </w:sectPr>
      </w:pPr>
    </w:p>
    <w:bookmarkStart w:id="8" w:name="page9"/>
    <w:bookmarkEnd w:id="8"/>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42"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30, 2025, the Company acquired Care TopCo Pty Ltd, the owner of the Prime100 pet food business, for cash consideration of AU $471</w:t>
      </w:r>
    </w:p>
    <w:p>
      <w:pPr>
        <w:spacing w:after="0" w:line="15" w:lineRule="exact"/>
        <w:rPr>
          <w:rFonts w:ascii="Times New Roman" w:cs="Times New Roman" w:eastAsia="Times New Roman" w:hAnsi="Times New Roman"/>
          <w:sz w:val="18"/>
          <w:szCs w:val="18"/>
          <w:b w:val="1"/>
          <w:bCs w:val="1"/>
          <w:color w:val="auto"/>
        </w:rPr>
      </w:pPr>
    </w:p>
    <w:p>
      <w:pPr>
        <w:ind w:left="332" w:right="2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($301). This acquisition provided the Company’s Hill’s Pet Nutrition segment with an entry into the fast-growing fresh pet food category in Australia. The acquisition was financed with a combination of debt and cash and was accounted for as a business combination in accordance with ASC 805.</w:t>
      </w:r>
    </w:p>
    <w:p>
      <w:pPr>
        <w:spacing w:after="0" w:line="200" w:lineRule="exact"/>
        <w:rPr>
          <w:rFonts w:ascii="Times New Roman" w:cs="Times New Roman" w:eastAsia="Times New Roman" w:hAnsi="Times New Roman"/>
          <w:sz w:val="18"/>
          <w:szCs w:val="18"/>
          <w:b w:val="1"/>
          <w:bCs w:val="1"/>
          <w:color w:val="auto"/>
        </w:rPr>
      </w:pPr>
    </w:p>
    <w:p>
      <w:pPr>
        <w:ind w:left="332"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second quarter of 2026, the Company finalized its purchase price allocation and the final purchase price of $301 was allocated to the net assets acquired based on their respective fair values as follows:</w:t>
      </w:r>
    </w:p>
    <w:p>
      <w:pPr>
        <w:spacing w:after="0" w:line="234" w:lineRule="exact"/>
        <w:rPr>
          <w:sz w:val="20"/>
          <w:szCs w:val="20"/>
          <w:color w:val="auto"/>
        </w:rPr>
      </w:pPr>
    </w:p>
    <w:tbl>
      <w:tblPr>
        <w:tblLayout w:type="fixed"/>
        <w:tblInd w:w="332" w:type="dxa"/>
        <w:tblCellMar>
          <w:top w:w="0" w:type="dxa"/>
          <w:left w:w="0" w:type="dxa"/>
          <w:bottom w:w="0" w:type="dxa"/>
          <w:right w:w="0" w:type="dxa"/>
        </w:tblCellMar>
      </w:tblPr>
      <w:tr>
        <w:trPr>
          <w:trHeight w:val="24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of net assets acquired</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r>
      <w:tr>
        <w:trPr>
          <w:trHeight w:val="20"/>
        </w:trPr>
        <w:tc>
          <w:tcPr>
            <w:tcW w:w="8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32"/>
        <w:spacing w:after="0" w:line="312" w:lineRule="auto"/>
        <w:rPr>
          <w:sz w:val="20"/>
          <w:szCs w:val="20"/>
          <w:color w:val="auto"/>
        </w:rPr>
      </w:pPr>
      <w:r>
        <w:rPr>
          <w:rFonts w:ascii="Times New Roman" w:cs="Times New Roman" w:eastAsia="Times New Roman" w:hAnsi="Times New Roman"/>
          <w:sz w:val="17"/>
          <w:szCs w:val="17"/>
          <w:color w:val="auto"/>
        </w:rPr>
        <w:t>Goodwill of $207 was allocated to the Hill’s Pet Nutrition segment. The Company expects that goodwill will be deductible for tax purposes. Other intangible assets acquired include trademarks, customer relationships and product formulations, which have useful lives ranging from five to 20 years.</w:t>
      </w:r>
    </w:p>
    <w:p>
      <w:pPr>
        <w:spacing w:after="0" w:line="3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Pro forma results of operations have not been presented as the impact on the Company’s Consolidated Financial Statements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71" w:right="419" w:bottom="1440" w:gutter="0" w:footer="0" w:header="0"/>
        </w:sectPr>
      </w:pPr>
    </w:p>
    <w:bookmarkStart w:id="9" w:name="page10"/>
    <w:bookmarkEnd w:id="9"/>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332" w:right="6880" w:hanging="332"/>
        <w:spacing w:after="0" w:line="511" w:lineRule="auto"/>
        <w:tabs>
          <w:tab w:leader="none" w:pos="32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and Related Implementation Charges </w:t>
      </w:r>
      <w:r>
        <w:rPr>
          <w:rFonts w:ascii="Times New Roman" w:cs="Times New Roman" w:eastAsia="Times New Roman" w:hAnsi="Times New Roman"/>
          <w:sz w:val="18"/>
          <w:szCs w:val="18"/>
          <w:i w:val="1"/>
          <w:iCs w:val="1"/>
          <w:color w:val="auto"/>
        </w:rPr>
        <w:t>Strategic Growth and Productivity Program</w:t>
      </w:r>
    </w:p>
    <w:p>
      <w:pPr>
        <w:ind w:left="332" w:right="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31, 2025, the Company’s Board of Directors (the “Board”) approved a three-year productivity program to drive future growth and support the Company’s 2030 strategy (the “Strategic Growth and Productivity Program”). The program includes initiatives to better align the Company’s organizational structure to support its strategic initiatives, optimize the Company’s global supply chain to drive agility and efficiencies and simplify and streamline its organizational structure to reduce overhead costs.</w:t>
      </w:r>
    </w:p>
    <w:p>
      <w:pPr>
        <w:spacing w:after="0" w:line="204" w:lineRule="exact"/>
        <w:rPr>
          <w:rFonts w:ascii="Times New Roman" w:cs="Times New Roman" w:eastAsia="Times New Roman" w:hAnsi="Times New Roman"/>
          <w:sz w:val="18"/>
          <w:szCs w:val="18"/>
          <w:b w:val="1"/>
          <w:bCs w:val="1"/>
          <w:color w:val="auto"/>
        </w:rPr>
      </w:pPr>
    </w:p>
    <w:p>
      <w:pPr>
        <w:ind w:left="332"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30, 2026, the Board approved an expansion of the Strategic Growth and Productivity Program to continue to align the Company’s operations to drive future growth and support the Company’s 2030 strategy.</w:t>
      </w:r>
    </w:p>
    <w:p>
      <w:pPr>
        <w:spacing w:after="0" w:line="189" w:lineRule="exact"/>
        <w:rPr>
          <w:rFonts w:ascii="Times New Roman" w:cs="Times New Roman" w:eastAsia="Times New Roman" w:hAnsi="Times New Roman"/>
          <w:sz w:val="18"/>
          <w:szCs w:val="18"/>
          <w:b w:val="1"/>
          <w:bCs w:val="1"/>
          <w:color w:val="auto"/>
        </w:rPr>
      </w:pPr>
    </w:p>
    <w:p>
      <w:pPr>
        <w:ind w:left="332"/>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Strategic Growth and Productivity Program is estimated to result in cumulative pre-tax charges, once all initiatives are approved and implemented, totaling between $350 and $550. These pre-tax charges are currently estimated to be comprised of the following: employee-related costs, including severance and other termination benefits (70% to 80%) and asset-related costs and other charges (20% to 30%), which include accelerated depreciation, asset write-downs, contract termination and other exit costs. It is estimated that approximately 80% to 90% of the charges will result in cash expenditures and substantially all charges resulting from the program will be incurred by December 31, 2028.</w:t>
      </w:r>
    </w:p>
    <w:p>
      <w:pPr>
        <w:spacing w:after="0" w:line="204" w:lineRule="exact"/>
        <w:rPr>
          <w:rFonts w:ascii="Times New Roman" w:cs="Times New Roman" w:eastAsia="Times New Roman" w:hAnsi="Times New Roman"/>
          <w:sz w:val="18"/>
          <w:szCs w:val="18"/>
          <w:b w:val="1"/>
          <w:bCs w:val="1"/>
          <w:color w:val="auto"/>
        </w:rPr>
      </w:pPr>
    </w:p>
    <w:p>
      <w:pPr>
        <w:ind w:left="332"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estimated that the cumulative pre-tax charges, once all projects are approved and implemented, will relate to initiatives undertaken in North America (5% to 10%), Latin America (15% to 20%), Europe, Middle East &amp; Africa (“EMEA”) (25% to 30%), Asia Pacific (10% to 15%), Hill’s Pet Nutrition (10% to 15%) and Corporate (20% to 25%).</w:t>
      </w:r>
    </w:p>
    <w:p>
      <w:pPr>
        <w:spacing w:after="0" w:line="196" w:lineRule="exact"/>
        <w:rPr>
          <w:rFonts w:ascii="Times New Roman" w:cs="Times New Roman" w:eastAsia="Times New Roman" w:hAnsi="Times New Roman"/>
          <w:sz w:val="18"/>
          <w:szCs w:val="18"/>
          <w:b w:val="1"/>
          <w:bCs w:val="1"/>
          <w:color w:val="auto"/>
        </w:rPr>
      </w:pPr>
    </w:p>
    <w:p>
      <w:pPr>
        <w:ind w:left="332"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2026, charges resulting from the Strategic Growth and Productivity Program are reflected in the income statement as follows:</w:t>
      </w:r>
    </w:p>
    <w:p>
      <w:pPr>
        <w:spacing w:after="0" w:line="230"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0" w:type="dxa"/>
            <w:vAlign w:val="bottom"/>
          </w:tcPr>
          <w:p>
            <w:pPr>
              <w:spacing w:after="0"/>
              <w:rPr>
                <w:sz w:val="18"/>
                <w:szCs w:val="18"/>
                <w:color w:val="auto"/>
              </w:rPr>
            </w:pPr>
          </w:p>
        </w:tc>
        <w:tc>
          <w:tcPr>
            <w:tcW w:w="2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6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3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w:t>
            </w:r>
          </w:p>
        </w:tc>
        <w:tc>
          <w:tcPr>
            <w:tcW w:w="5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pre-tax</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r>
      <w:tr>
        <w:trPr>
          <w:trHeight w:val="26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after-tax</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Restructuring and related implementation charges are recorded in the Corporate segment as these initiatives are predominantly centrally directed and controlled and are not included in internal measures of segment operating performance.</w:t>
      </w:r>
    </w:p>
    <w:p>
      <w:pPr>
        <w:sectPr>
          <w:pgSz w:w="11900" w:h="16838" w:orient="portrait"/>
          <w:cols w:equalWidth="0" w:num="1">
            <w:col w:w="11212"/>
          </w:cols>
          <w:pgMar w:left="328" w:top="1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71" w:right="359" w:bottom="1440" w:gutter="0" w:footer="0" w:header="0"/>
          <w:type w:val="continuous"/>
        </w:sectPr>
      </w:pPr>
    </w:p>
    <w:bookmarkStart w:id="10" w:name="page11"/>
    <w:bookmarkEnd w:id="10"/>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charges incurred for the Strategic Growth and Productivity Program relate to initiatives undertaken by the following reportable operating segments and Corporate: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Program-to-date</w:t>
            </w:r>
          </w:p>
        </w:tc>
      </w:tr>
      <w:tr>
        <w:trPr>
          <w:trHeight w:val="241"/>
        </w:trPr>
        <w:tc>
          <w:tcPr>
            <w:tcW w:w="3660" w:type="dxa"/>
            <w:vAlign w:val="bottom"/>
          </w:tcPr>
          <w:p>
            <w:pPr>
              <w:spacing w:after="0"/>
              <w:rPr>
                <w:sz w:val="20"/>
                <w:szCs w:val="20"/>
                <w:color w:val="auto"/>
              </w:rPr>
            </w:pP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23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Accumulated Charges</w:t>
            </w:r>
          </w:p>
        </w:tc>
      </w:tr>
      <w:tr>
        <w:trPr>
          <w:trHeight w:val="23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2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inception of the Strategic Growth and Productivity Program, the Company has incurred cumulative pre-tax charges of $346 ($278 after-tax)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implementation of various projects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Cumulative Charges as of</w:t>
            </w:r>
          </w:p>
        </w:tc>
      </w:tr>
      <w:tr>
        <w:trPr>
          <w:trHeight w:val="241"/>
        </w:trPr>
        <w:tc>
          <w:tcPr>
            <w:tcW w:w="8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3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Asset-Related Costs and Other</w:t>
            </w:r>
          </w:p>
        </w:tc>
        <w:tc>
          <w:tcPr>
            <w:tcW w:w="1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1"/>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accrual:</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1860" w:type="dxa"/>
            <w:vAlign w:val="bottom"/>
          </w:tcPr>
          <w:p>
            <w:pPr>
              <w:jc w:val="center"/>
              <w:ind w:lef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Employee-Related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Asset-Related Costs &amp; Other</w:t>
            </w:r>
          </w:p>
        </w:tc>
        <w:tc>
          <w:tcPr>
            <w:tcW w:w="640" w:type="dxa"/>
            <w:vAlign w:val="bottom"/>
          </w:tcPr>
          <w:p>
            <w:pPr>
              <w:spacing w:after="0"/>
              <w:rPr>
                <w:sz w:val="15"/>
                <w:szCs w:val="15"/>
                <w:color w:val="auto"/>
              </w:rPr>
            </w:pPr>
          </w:p>
        </w:tc>
        <w:tc>
          <w:tcPr>
            <w:tcW w:w="164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86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8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against assets and liabilities</w:t>
            </w:r>
          </w:p>
        </w:tc>
        <w:tc>
          <w:tcPr>
            <w:tcW w:w="1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860" w:type="dxa"/>
            <w:vAlign w:val="bottom"/>
            <w:tcBorders>
              <w:top w:val="single" w:sz="8" w:color="auto"/>
              <w:bottom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34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1860" w:type="dxa"/>
            <w:vAlign w:val="bottom"/>
          </w:tcPr>
          <w:p>
            <w:pPr>
              <w:jc w:val="center"/>
              <w:ind w:lef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Employee-Related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Asset-Related Costs &amp; Other</w:t>
            </w:r>
          </w:p>
        </w:tc>
        <w:tc>
          <w:tcPr>
            <w:tcW w:w="640" w:type="dxa"/>
            <w:vAlign w:val="bottom"/>
          </w:tcPr>
          <w:p>
            <w:pPr>
              <w:spacing w:after="0"/>
              <w:rPr>
                <w:sz w:val="15"/>
                <w:szCs w:val="15"/>
                <w:color w:val="auto"/>
              </w:rPr>
            </w:pPr>
          </w:p>
        </w:tc>
        <w:tc>
          <w:tcPr>
            <w:tcW w:w="164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8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3"/>
            <w:vMerge w:val="continue"/>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6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8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against assets and liabilities</w:t>
            </w:r>
          </w:p>
        </w:tc>
        <w:tc>
          <w:tcPr>
            <w:tcW w:w="1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860" w:type="dxa"/>
            <w:vAlign w:val="bottom"/>
            <w:tcBorders>
              <w:top w:val="single" w:sz="8" w:color="auto"/>
              <w:bottom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66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71" w:right="339" w:bottom="1440" w:gutter="0" w:footer="0" w:header="0"/>
          <w:type w:val="continuous"/>
        </w:sectPr>
      </w:pPr>
    </w:p>
    <w:bookmarkStart w:id="11" w:name="page12"/>
    <w:bookmarkEnd w:id="11"/>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ind w:left="332"/>
        <w:spacing w:after="0" w:line="258" w:lineRule="auto"/>
        <w:rPr>
          <w:sz w:val="20"/>
          <w:szCs w:val="20"/>
          <w:color w:val="auto"/>
        </w:rPr>
      </w:pPr>
      <w:r>
        <w:rPr>
          <w:rFonts w:ascii="Times New Roman" w:cs="Times New Roman" w:eastAsia="Times New Roman" w:hAnsi="Times New Roman"/>
          <w:sz w:val="18"/>
          <w:szCs w:val="18"/>
          <w:color w:val="auto"/>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postretirement benefit enhancements of $1 and $6 for the three and nine months ended September 30, 2026, respectively. These amounts are reflected as Charges against assets and liabilities within Employee-Related Costs in the preceding tables as the corresponding balance sheet amounts are reflected as an increase in postretirement liabilities.</w:t>
      </w:r>
    </w:p>
    <w:p>
      <w:pPr>
        <w:spacing w:after="0" w:line="200" w:lineRule="exact"/>
        <w:rPr>
          <w:sz w:val="20"/>
          <w:szCs w:val="20"/>
          <w:color w:val="auto"/>
        </w:rPr>
      </w:pPr>
    </w:p>
    <w:p>
      <w:pPr>
        <w:spacing w:after="0" w:line="249" w:lineRule="exact"/>
        <w:rPr>
          <w:sz w:val="20"/>
          <w:szCs w:val="20"/>
          <w:color w:val="auto"/>
        </w:rPr>
      </w:pPr>
    </w:p>
    <w:p>
      <w:pPr>
        <w:ind w:left="312" w:hanging="312"/>
        <w:spacing w:after="0"/>
        <w:tabs>
          <w:tab w:leader="none" w:pos="3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by major class were as follows:</w:t>
      </w:r>
    </w:p>
    <w:p>
      <w:pPr>
        <w:spacing w:after="0" w:line="41"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4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37"/>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2,249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4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inventory, net</w:t>
            </w:r>
          </w:p>
        </w:tc>
        <w:tc>
          <w:tcPr>
            <w:tcW w:w="16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7"/>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Inventories, net</w:t>
            </w:r>
          </w:p>
        </w:tc>
        <w:tc>
          <w:tcPr>
            <w:tcW w:w="16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2,182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1"/>
        </w:trPr>
        <w:tc>
          <w:tcPr>
            <w:tcW w:w="6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September 30, 2026 and 2025, earnings per share were as follows:</w:t>
      </w:r>
    </w:p>
    <w:p>
      <w:pPr>
        <w:spacing w:after="0" w:line="289"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5"/>
                <w:szCs w:val="15"/>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w:t>
            </w: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5"/>
                <w:szCs w:val="15"/>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Colgate-Palmolive</w:t>
            </w: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Colgate-Palmolive</w:t>
            </w: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6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8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62"/>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options and</w:t>
            </w: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32" w:right="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and 2025, the average number of stock options and restricted stock units that were anti-dilutive and not included in diluted earnings per share calculations were 1,247,681 and 1,060,609, respectively.</w:t>
      </w:r>
    </w:p>
    <w:p>
      <w:pPr>
        <w:spacing w:after="0" w:line="12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For the nine months ended September 30, 2026 and 2025, earnings per share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71" w:right="559" w:bottom="1440" w:gutter="0" w:footer="0" w:header="0"/>
        </w:sectPr>
      </w:pPr>
    </w:p>
    <w:bookmarkStart w:id="12" w:name="page13"/>
    <w:bookmarkEnd w:id="12"/>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5"/>
                <w:szCs w:val="15"/>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Per</w:t>
            </w: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5"/>
                <w:szCs w:val="15"/>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w:t>
            </w: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Colgate-Palmolive</w:t>
            </w: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Colgate-Palmolive</w:t>
            </w: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6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62"/>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options and</w:t>
            </w: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and 2025, the average number of stock options and restricted stock units that were anti-dilutive and not included in diluted earnings per share calculations were 1,321,916 and 987,780, respectively.</w:t>
      </w:r>
    </w:p>
    <w:p>
      <w:pPr>
        <w:spacing w:after="0" w:line="121" w:lineRule="exact"/>
        <w:rPr>
          <w:sz w:val="20"/>
          <w:szCs w:val="20"/>
          <w:color w:val="auto"/>
        </w:rPr>
      </w:pPr>
    </w:p>
    <w:p>
      <w:pPr>
        <w:ind w:left="332" w:right="100"/>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computed independently for each quarter and any year-to-date period presented. As a result of changes in the number of shares outstanding during the year and rounding, the sum of the quarters’ earnings per share may not necessarily equal the earnings per share for any year-to-date period.</w:t>
      </w:r>
    </w:p>
    <w:p>
      <w:pPr>
        <w:spacing w:after="0" w:line="388" w:lineRule="exact"/>
        <w:rPr>
          <w:sz w:val="20"/>
          <w:szCs w:val="20"/>
          <w:color w:val="auto"/>
        </w:rPr>
      </w:pPr>
    </w:p>
    <w:p>
      <w:pPr>
        <w:ind w:left="312" w:hanging="312"/>
        <w:spacing w:after="0"/>
        <w:tabs>
          <w:tab w:leader="none" w:pos="3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256" w:lineRule="exact"/>
        <w:rPr>
          <w:rFonts w:ascii="Times New Roman" w:cs="Times New Roman" w:eastAsia="Times New Roman" w:hAnsi="Times New Roman"/>
          <w:sz w:val="18"/>
          <w:szCs w:val="18"/>
          <w:b w:val="1"/>
          <w:bCs w:val="1"/>
          <w:color w:val="auto"/>
        </w:rPr>
      </w:pPr>
    </w:p>
    <w:p>
      <w:pPr>
        <w:ind w:left="332"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and reclassifications out of Accumulated other comprehensive income (loss) attributable to the Company for the three and nine months ended September 30, 2026 and 2025 were as follows:</w:t>
      </w:r>
    </w:p>
    <w:p>
      <w:pPr>
        <w:spacing w:after="0" w:line="216"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60" w:type="dxa"/>
            <w:vAlign w:val="bottom"/>
          </w:tcPr>
          <w:p>
            <w:pPr>
              <w:spacing w:after="0"/>
              <w:rPr>
                <w:sz w:val="20"/>
                <w:szCs w:val="20"/>
                <w:color w:val="auto"/>
              </w:rPr>
            </w:pPr>
          </w:p>
        </w:tc>
        <w:tc>
          <w:tcPr>
            <w:tcW w:w="19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translation adjustments: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 pre-tax</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and other benefits:</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Net actuarial gain (loss), prior service costs and settlements</w:t>
            </w:r>
          </w:p>
        </w:tc>
        <w:tc>
          <w:tcPr>
            <w:tcW w:w="7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during the period</w:t>
            </w:r>
          </w:p>
        </w:tc>
        <w:tc>
          <w:tcPr>
            <w:tcW w:w="7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Amortization of net actuarial loss (gain), transition and prior service costs</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Plan and other retiree benefit adjustments, pre-tax</w:t>
            </w: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7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Plan and other retiree benefit adjustments, net of tax</w:t>
            </w:r>
          </w:p>
        </w:tc>
        <w:tc>
          <w:tcPr>
            <w:tcW w:w="7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 pre-tax</w:t>
            </w: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 net of tax</w:t>
            </w: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92" w:right="560" w:hanging="168"/>
        <w:spacing w:after="0"/>
        <w:tabs>
          <w:tab w:leader="none" w:pos="462"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components of Other comprehensive income (loss) are included in the computation of total pension cost. Refer to Note 9, Retirement Plans and Other Retiree Benefits for additional details.</w:t>
      </w:r>
    </w:p>
    <w:p>
      <w:pPr>
        <w:spacing w:after="0" w:line="200" w:lineRule="exact"/>
        <w:rPr>
          <w:sz w:val="20"/>
          <w:szCs w:val="20"/>
          <w:color w:val="auto"/>
        </w:rPr>
      </w:pPr>
    </w:p>
    <w:p>
      <w:pPr>
        <w:spacing w:after="0" w:line="20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There were no tax impacts on Other comprehensive income (loss) (“OCI”) attributable to Noncontrolling interests.</w:t>
      </w:r>
    </w:p>
    <w:p>
      <w:pPr>
        <w:sectPr>
          <w:pgSz w:w="11900" w:h="16838" w:orient="portrait"/>
          <w:cols w:equalWidth="0" w:num="1">
            <w:col w:w="11192"/>
          </w:cols>
          <w:pgMar w:left="328" w:top="17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71" w:right="379" w:bottom="1440" w:gutter="0" w:footer="0" w:header="0"/>
          <w:type w:val="continuous"/>
        </w:sectPr>
      </w:pPr>
    </w:p>
    <w:bookmarkStart w:id="13" w:name="page14"/>
    <w:bookmarkEnd w:id="13"/>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312" w:hanging="312"/>
        <w:spacing w:after="0"/>
        <w:tabs>
          <w:tab w:leader="none" w:pos="31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 and Other Retiree Benefits</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Net periodic benefit cost for the three and nine months ended September 30, 2026 and 2025 were as follows:</w:t>
      </w:r>
    </w:p>
    <w:p>
      <w:pPr>
        <w:spacing w:after="0" w:line="167"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7"/>
        </w:trPr>
        <w:tc>
          <w:tcPr>
            <w:tcW w:w="3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Retiree Benefits</w:t>
            </w:r>
          </w:p>
        </w:tc>
      </w:tr>
      <w:tr>
        <w:trPr>
          <w:trHeight w:val="237"/>
        </w:trPr>
        <w:tc>
          <w:tcPr>
            <w:tcW w:w="3580" w:type="dxa"/>
            <w:vAlign w:val="bottom"/>
          </w:tcPr>
          <w:p>
            <w:pPr>
              <w:spacing w:after="0"/>
              <w:rPr>
                <w:sz w:val="20"/>
                <w:szCs w:val="20"/>
                <w:color w:val="auto"/>
              </w:rPr>
            </w:pPr>
          </w:p>
        </w:tc>
        <w:tc>
          <w:tcPr>
            <w:tcW w:w="1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358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(gain)</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2"/>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charges</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cost</w:t>
            </w: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554"/>
        </w:trPr>
        <w:tc>
          <w:tcPr>
            <w:tcW w:w="35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37"/>
        </w:trPr>
        <w:tc>
          <w:tcPr>
            <w:tcW w:w="3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Retiree Benefits</w:t>
            </w:r>
          </w:p>
        </w:tc>
      </w:tr>
      <w:tr>
        <w:trPr>
          <w:trHeight w:val="237"/>
        </w:trPr>
        <w:tc>
          <w:tcPr>
            <w:tcW w:w="3580" w:type="dxa"/>
            <w:vAlign w:val="bottom"/>
          </w:tcPr>
          <w:p>
            <w:pPr>
              <w:spacing w:after="0"/>
              <w:rPr>
                <w:sz w:val="20"/>
                <w:szCs w:val="20"/>
                <w:color w:val="auto"/>
              </w:rPr>
            </w:pPr>
          </w:p>
        </w:tc>
        <w:tc>
          <w:tcPr>
            <w:tcW w:w="1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6"/>
        </w:trPr>
        <w:tc>
          <w:tcPr>
            <w:tcW w:w="358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(gain)</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2"/>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charges</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ERISA litigation matter</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pension cost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92" w:hanging="168"/>
        <w:spacing w:after="0"/>
        <w:tabs>
          <w:tab w:leader="none" w:pos="492"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Refer to Note 10, Contingencies for information regarding the ERISA litigation matter.</w:t>
      </w:r>
    </w:p>
    <w:p>
      <w:pPr>
        <w:spacing w:after="0" w:line="221" w:lineRule="exact"/>
        <w:rPr>
          <w:sz w:val="20"/>
          <w:szCs w:val="20"/>
          <w:color w:val="auto"/>
        </w:rPr>
      </w:pPr>
    </w:p>
    <w:p>
      <w:pPr>
        <w:ind w:left="332"/>
        <w:spacing w:after="0" w:line="266" w:lineRule="auto"/>
        <w:rPr>
          <w:sz w:val="20"/>
          <w:szCs w:val="20"/>
          <w:color w:val="auto"/>
        </w:rPr>
      </w:pPr>
      <w:r>
        <w:rPr>
          <w:rFonts w:ascii="Times New Roman" w:cs="Times New Roman" w:eastAsia="Times New Roman" w:hAnsi="Times New Roman"/>
          <w:sz w:val="18"/>
          <w:szCs w:val="18"/>
          <w:color w:val="auto"/>
        </w:rPr>
        <w:t>Other postretirement charges for the three and nine months ended September 30, 2026 included charges of $1 and $6, respectively, incurred pursuant to the Strategic Growth and Productivity Program.</w:t>
      </w:r>
    </w:p>
    <w:p>
      <w:pPr>
        <w:spacing w:after="0" w:line="18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U.S. pension plans required immaterial cash contributions by the Company in 2026. Refer to Note 10, Contingencies for additional information.</w:t>
      </w:r>
    </w:p>
    <w:p>
      <w:pPr>
        <w:sectPr>
          <w:pgSz w:w="11900" w:h="16838" w:orient="portrait"/>
          <w:cols w:equalWidth="0" w:num="1">
            <w:col w:w="11232"/>
          </w:cols>
          <w:pgMar w:left="328"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1" w:right="339" w:bottom="1440" w:gutter="0" w:footer="0" w:header="0"/>
          <w:type w:val="continuous"/>
        </w:sectPr>
      </w:pPr>
    </w:p>
    <w:bookmarkStart w:id="14" w:name="page15"/>
    <w:bookmarkEnd w:id="1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tab/>
        <w:t>Contingencies</w:t>
      </w:r>
    </w:p>
    <w:p>
      <w:pPr>
        <w:spacing w:after="0" w:line="256" w:lineRule="exact"/>
        <w:rPr>
          <w:sz w:val="20"/>
          <w:szCs w:val="20"/>
          <w:color w:val="auto"/>
        </w:rPr>
      </w:pPr>
    </w:p>
    <w:p>
      <w:pPr>
        <w:ind w:left="340" w:right="200"/>
        <w:spacing w:after="0" w:line="247" w:lineRule="auto"/>
        <w:rPr>
          <w:sz w:val="20"/>
          <w:szCs w:val="20"/>
          <w:color w:val="auto"/>
        </w:rPr>
      </w:pPr>
      <w:r>
        <w:rPr>
          <w:rFonts w:ascii="Times New Roman" w:cs="Times New Roman" w:eastAsia="Times New Roman" w:hAnsi="Times New Roman"/>
          <w:sz w:val="18"/>
          <w:szCs w:val="18"/>
          <w:color w:val="auto"/>
        </w:rPr>
        <w:t>As a global company serving consumers in more than 200 countries and territories, the Company is routinely subject to a wide variety of legal proceedings. These include disputes relating to intellectual property, contracts, product liability, marketing, advertising, foreign exchange controls, antitrust and trade regulation, labor and employment, pension and benefits, data privacy and security, environmental and tax matters and consumer class actions. In addition, management proactively reviews and monitors the Company’s exposure to, and the impact of, environmental matters. The Company is party to various environmental matters and, as such, may be responsible for all or a portion of the cleanup, restoration and post-closure monitoring of several sites.</w:t>
      </w:r>
    </w:p>
    <w:p>
      <w:pPr>
        <w:spacing w:after="0" w:line="207" w:lineRule="exact"/>
        <w:rPr>
          <w:sz w:val="20"/>
          <w:szCs w:val="20"/>
          <w:color w:val="auto"/>
        </w:rPr>
      </w:pPr>
    </w:p>
    <w:p>
      <w:pPr>
        <w:ind w:left="340" w:right="200"/>
        <w:spacing w:after="0" w:line="258" w:lineRule="auto"/>
        <w:rPr>
          <w:sz w:val="20"/>
          <w:szCs w:val="20"/>
          <w:color w:val="auto"/>
        </w:rPr>
      </w:pPr>
      <w:r>
        <w:rPr>
          <w:rFonts w:ascii="Times New Roman" w:cs="Times New Roman" w:eastAsia="Times New Roman" w:hAnsi="Times New Roman"/>
          <w:sz w:val="18"/>
          <w:szCs w:val="18"/>
          <w:color w:val="auto"/>
        </w:rPr>
        <w:t>The Company establishes accruals for loss contingencies when it has determined that a loss is probable and that the amount of loss, or range of loss, can be reasonably estimated. Any such accruals are adjusted thereafter as appropriate to reflect changes in circumstances. The Company does not accrue for legal defense costs, which are recognized as incurred when the legal services are provided.</w:t>
      </w:r>
    </w:p>
    <w:p>
      <w:pPr>
        <w:spacing w:after="0" w:line="196" w:lineRule="exact"/>
        <w:rPr>
          <w:sz w:val="20"/>
          <w:szCs w:val="20"/>
          <w:color w:val="auto"/>
        </w:rPr>
      </w:pPr>
    </w:p>
    <w:p>
      <w:pPr>
        <w:ind w:left="340" w:right="40"/>
        <w:spacing w:after="0" w:line="243" w:lineRule="auto"/>
        <w:rPr>
          <w:sz w:val="20"/>
          <w:szCs w:val="20"/>
          <w:color w:val="auto"/>
        </w:rPr>
      </w:pPr>
      <w:r>
        <w:rPr>
          <w:rFonts w:ascii="Times New Roman" w:cs="Times New Roman" w:eastAsia="Times New Roman" w:hAnsi="Times New Roman"/>
          <w:sz w:val="18"/>
          <w:szCs w:val="18"/>
          <w:color w:val="auto"/>
        </w:rPr>
        <w:t>The Company also determines estimates of reasonably possible losses or ranges of reasonably possible losses in excess of related accrued liabilities, if any, when it has determined that a loss is reasonably possible and it is able to determine such estimates. For those matters disclosed below for which the amount of any reasonably possible losses can be reasonably estimated, the Company currently estimates that the aggregate range of reasonably possible losses in excess of any accrued liabilities is $0 to approximately $225 (based on current exchange rates).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range may not represent the ultimate loss to the Company. Thus, the Company’s exposure and ultimate losses may be higher or lower, and possibly significantly so, than the amounts accrued or the range disclosed above.</w:t>
      </w:r>
    </w:p>
    <w:p>
      <w:pPr>
        <w:spacing w:after="0" w:line="227" w:lineRule="exact"/>
        <w:rPr>
          <w:sz w:val="20"/>
          <w:szCs w:val="20"/>
          <w:color w:val="auto"/>
        </w:rPr>
      </w:pPr>
    </w:p>
    <w:p>
      <w:pPr>
        <w:jc w:val="both"/>
        <w:ind w:left="340" w:right="20"/>
        <w:spacing w:after="0" w:line="250" w:lineRule="auto"/>
        <w:rPr>
          <w:sz w:val="20"/>
          <w:szCs w:val="20"/>
          <w:color w:val="auto"/>
        </w:rPr>
      </w:pPr>
      <w:r>
        <w:rPr>
          <w:rFonts w:ascii="Times New Roman" w:cs="Times New Roman" w:eastAsia="Times New Roman" w:hAnsi="Times New Roman"/>
          <w:sz w:val="18"/>
          <w:szCs w:val="18"/>
          <w:color w:val="auto"/>
        </w:rPr>
        <w:t>Based on current knowledge, management does not believe that the ultimate resolution of loss contingencies arising from the matters discussed herein will have a material effect on the Company’s consolidated financial position or its ongoing results of operations or cash flows. However, in light of the inherent uncertainties noted above, an adverse outcome in one or more matters could be material to the Company’s results of operations or cash flows for any particular quarter or year.</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Brazilian Matters</w:t>
      </w:r>
    </w:p>
    <w:p>
      <w:pPr>
        <w:spacing w:after="0" w:line="256" w:lineRule="exact"/>
        <w:rPr>
          <w:sz w:val="20"/>
          <w:szCs w:val="20"/>
          <w:color w:val="auto"/>
        </w:rPr>
      </w:pPr>
    </w:p>
    <w:p>
      <w:pPr>
        <w:ind w:left="340" w:right="560"/>
        <w:spacing w:after="0" w:line="266" w:lineRule="auto"/>
        <w:rPr>
          <w:sz w:val="20"/>
          <w:szCs w:val="20"/>
          <w:color w:val="auto"/>
        </w:rPr>
      </w:pPr>
      <w:r>
        <w:rPr>
          <w:rFonts w:ascii="Times New Roman" w:cs="Times New Roman" w:eastAsia="Times New Roman" w:hAnsi="Times New Roman"/>
          <w:sz w:val="18"/>
          <w:szCs w:val="18"/>
          <w:color w:val="auto"/>
        </w:rPr>
        <w:t>There are certain tax and civil proceedings outstanding, as described below, related to the Company’s 1995 acquisition of the Kolynos oral care business from Wyeth (the “Seller”).</w:t>
      </w:r>
    </w:p>
    <w:p>
      <w:pPr>
        <w:spacing w:after="0" w:line="203" w:lineRule="exact"/>
        <w:rPr>
          <w:sz w:val="20"/>
          <w:szCs w:val="20"/>
          <w:color w:val="auto"/>
        </w:rPr>
      </w:pPr>
    </w:p>
    <w:p>
      <w:pPr>
        <w:ind w:left="340"/>
        <w:spacing w:after="0" w:line="244" w:lineRule="auto"/>
        <w:rPr>
          <w:sz w:val="20"/>
          <w:szCs w:val="20"/>
          <w:color w:val="auto"/>
        </w:rPr>
      </w:pPr>
      <w:r>
        <w:rPr>
          <w:rFonts w:ascii="Times New Roman" w:cs="Times New Roman" w:eastAsia="Times New Roman" w:hAnsi="Times New Roman"/>
          <w:sz w:val="18"/>
          <w:szCs w:val="18"/>
          <w:color w:val="auto"/>
        </w:rPr>
        <w:t>The Brazilian internal revenue authority has disallowed interest deductions and foreign exchange losses taken by the Company’s Brazilian subsidiary for certain years in connection with the financing of the Kolynos acquisition. The tax assessments with interest, penalties and any court-mandated fees, at the current exchange rate, are approximately $107. This amount includes additional assessments received from the Brazilian internal revenue authority in April 2016 relating to net operating loss carryforwards used by the Company’s Brazilian subsidiary to offset taxable income that had also been deducted from the authority’s original assessments. The Company has been disputing the disallowances by appealing the assessments since October 2001.</w:t>
      </w:r>
    </w:p>
    <w:p>
      <w:pPr>
        <w:spacing w:after="0" w:line="222" w:lineRule="exact"/>
        <w:rPr>
          <w:sz w:val="20"/>
          <w:szCs w:val="20"/>
          <w:color w:val="auto"/>
        </w:rPr>
      </w:pPr>
    </w:p>
    <w:p>
      <w:pPr>
        <w:ind w:left="340" w:right="60"/>
        <w:spacing w:after="0" w:line="242" w:lineRule="auto"/>
        <w:rPr>
          <w:sz w:val="20"/>
          <w:szCs w:val="20"/>
          <w:color w:val="auto"/>
        </w:rPr>
      </w:pPr>
      <w:r>
        <w:rPr>
          <w:rFonts w:ascii="Times New Roman" w:cs="Times New Roman" w:eastAsia="Times New Roman" w:hAnsi="Times New Roman"/>
          <w:sz w:val="18"/>
          <w:szCs w:val="18"/>
          <w:color w:val="auto"/>
        </w:rPr>
        <w:t>Following adverse administrative decisions, the Company filed five cases in the Lower Federal Courts in the City of São Paulo (the “Lower Federal Court”) in October 2015, March 2017, October 2018, June 2019 and September 2020. Of those five cases, currently one case is pending in the Lower Federal Court and four cases have been appealed to the Federal Court of Appeals. Of the four cases pending in the Federal Court of Appeals, one case was appealed by the Brazilian federal government following a ruling in favor of the Company in the Lower Federal Court and three were appealed by the Company following rulings against the Company in the Lower Federal Court. In December 2025, in one of these three cases, the Federal Court of Appeals ruled against the Company with respect to the deductibility of the corporate income tax for the years 1999 through 2001. The amount at issue in this case, with interest and any court-mandated fees, at the current exchange rate, is approximately $19. The Company filed a motion for clarification with the Federal Court of Appeals, which was denied in April 2026. In May 2026, the Company filed further appeals. In August and October 2026, those appeals were denied, and the Company has filed further appeals. Although there can be no assurances, management believes, based on the opinion of its Brazilian legal counsel, that it has strong legal grounds to contest these matters, and it is more likely than not that the Company will ultimately prevail. The Company is challenging these matters vigorously.</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5" w:name="page16"/>
    <w:bookmarkEnd w:id="15"/>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July 2002, the Brazilian Federal Public Attorney filed a case against the federal government of Brazil, Laboratorios Wyeth-Whitehall Ltda. (the Brazilian subsidiary of the Seller) and the Company’s Brazilian subsidiary in the Lower Federal Court, seeking to annul an April 2000 decision by the Brazilian Board of Tax Appeals that found in favor of the Seller’s Brazilian subsidiary on the issue of whether it had incurred taxable capital gains as a result of the divestiture of Kolynos. The case seeks to make the Company’s Brazilian subsidiary jointly and severally liable for any tax due from the Seller’s Brazilian subsidiary. The case has been pending since 2002, and the Lower Federal Court has not issued a decision. Although there can be no assurances, management believes, based on the opinion of its Brazilian legal counsel, that it has strong legal grounds to contest this matter and it is more likely than not that the Company will ultimately prevail. The Company is challenging this matter vigorously.</w:t>
      </w:r>
    </w:p>
    <w:p>
      <w:pPr>
        <w:spacing w:after="0" w:line="2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December 2005, the Brazilian internal revenue authority issued to the Company’s Brazilian subsidiary a tax assessment with interest and any court-mandated fees of approximately $28, at the current exchange rate, based on a claim that certain purchases of U.S. Treasury bills by the subsidiary and their subsequent disposition during the period 2000 to 2001 were subject to a tax on foreign exchange transactions. Following adverse administrative decisions, in January 2016, the Company filed a case in the Lower Federal Court. In the event the Company is unsuccessful in this case, further appeals are available. Although there can be no assurances, management believes, based on the opinion of its Brazilian legal counsel, that it has strong legal grounds to contest this matter and it is more likely than not that the Company will ultimately prevail. The Company is challenging this matter vigorously.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Talcum Powder Matters</w:t>
      </w:r>
    </w:p>
    <w:p>
      <w:pPr>
        <w:spacing w:after="0" w:line="256"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The Company has been named as a defendant in civil actions alleging that certain of its historic talcum powder products were contaminated with asbestos and/or caused mesothelioma and other cancers. Many of these actions involve a number of co-defendants from a variety of different industries.</w:t>
      </w:r>
    </w:p>
    <w:p>
      <w:pPr>
        <w:spacing w:after="0" w:line="21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The number of cases against manufacturers and retailers of talc-containing products continues to grow. The rate of filings against the Company is consistent with this trend. As of September 30, 2026, there were 561 individual cases pending against the Company in state and federal courts throughout the United States, as compared to 525 cases as of June 30, 2026 and 453 cases as of December 31, 2025. During the three months ended September 30, 2026, 78 new cases were filed and 42 cases were resolved by voluntary dismissal or settlement. During the nine months ended September 30, 2026, 236 new cases were filed and 128 cases were resolved by voluntary dismissal, settlement or dismissal by the court. The value of the settlements in the periods presented was not material, either individually or in the aggregate, to such period’s results of operations.</w:t>
      </w:r>
    </w:p>
    <w:p>
      <w:pPr>
        <w:spacing w:after="0" w:line="2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and its legal counsel believe that the Company has strong legal grounds to contest these cases and is challenging them vigorously. However, given the inherent uncertainties of litigation and the evolving litigation landscape, the Company cannot predict the outcome of all individual cases pending against it, and is only able to make an estimate for those cases that have advanced to the later stages of legal proceedings. For the remaining cases, the Company includes in the range of reasonably possible losses in excess of accrued liabilities stated above an aggregated amount that takes into account historical outcomes of the Company’s cases.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2026, a portion of the Company’s costs incurred in defending and resolving these claims has been, and the Company believes will continue to be, covered by insurance policies issued by several primary, excess and umbrella insurance carriers, subject to exhaustion, deductibles, exclusions, retentions, policy limits and insurance carrier insolvencies.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ERISA Matter</w:t>
      </w:r>
    </w:p>
    <w:p>
      <w:pPr>
        <w:spacing w:after="0" w:line="25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 June 2016, a lawsuit was filed in the United States District Court for the Southern District of New York (the “District Court”) against the Colgate-Palmolive Company Employees’ Retirement Income Plan (the “Retirement Plan”), the Company and certain individuals claiming that residual annuity payments associated with a 2005 residual annuity amendment to the Retirement Plan were improperly calculated for certain Retirement Plan participants in violation of the Employee Retirement Income Security Act. The relief sought included recalculation of benefits, pre- and post-judgment interest and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71" w:right="339" w:bottom="1440" w:gutter="0" w:footer="0" w:header="0"/>
        </w:sectPr>
      </w:pPr>
    </w:p>
    <w:bookmarkStart w:id="16" w:name="page17"/>
    <w:bookmarkEnd w:id="16"/>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Following adverse decisions by the District Court and the United States Court of Appeals for the Second Circuit, the Company recorded charges to earnings of $267 in the quarter ended March 31, 2023 and $65 in the quarter ended March 31, 2025 to reflect the then current estimated increase in pension plan liability and other related costs. In the quarter ended September 30, 2025, the parties entered into a settlement agreement to fully resolve the litigation for $332, inclusive of attorneys’ fees and costs. In January 2026, the District Court granted final approval of the settlement. In February 2026, the District Court granted plaintiffs’ request to allocate $99 of the settlement amount to plaintiffs’ attorneys’ fees and costs. These attorneys’ fees and costs have been paid by the Company, while the remainder of the settlement amount is funded by the Plan. The litigation resulted in an increase in the obligations of the Retirement Plan and, based on the current funded status of the Retirement Plan, required immaterial cash contributions by the Company in 2025 and 2026.</w:t>
      </w:r>
    </w:p>
    <w:p>
      <w:pPr>
        <w:sectPr>
          <w:pgSz w:w="11900" w:h="16838" w:orient="portrait"/>
          <w:cols w:equalWidth="0" w:num="1">
            <w:col w:w="10900"/>
          </w:cols>
          <w:pgMar w:left="660" w:top="171" w:right="339" w:bottom="2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71" w:right="339" w:bottom="272" w:gutter="0" w:footer="0" w:header="0"/>
          <w:type w:val="continuous"/>
        </w:sectPr>
      </w:pPr>
    </w:p>
    <w:bookmarkStart w:id="17" w:name="page18"/>
    <w:bookmarkEnd w:id="17"/>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392" w:hanging="392"/>
        <w:spacing w:after="0"/>
        <w:tabs>
          <w:tab w:leader="none" w:pos="39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Company operates in two product segments: Oral, Personal and Home Care; and Pet Nutrition.</w:t>
      </w:r>
    </w:p>
    <w:p>
      <w:pPr>
        <w:spacing w:after="0" w:line="252" w:lineRule="exact"/>
        <w:rPr>
          <w:sz w:val="20"/>
          <w:szCs w:val="20"/>
          <w:color w:val="auto"/>
        </w:rPr>
      </w:pPr>
    </w:p>
    <w:p>
      <w:pPr>
        <w:ind w:left="332" w:right="540"/>
        <w:spacing w:after="0" w:line="282" w:lineRule="auto"/>
        <w:rPr>
          <w:sz w:val="20"/>
          <w:szCs w:val="20"/>
          <w:color w:val="auto"/>
        </w:rPr>
      </w:pPr>
      <w:r>
        <w:rPr>
          <w:rFonts w:ascii="Times New Roman" w:cs="Times New Roman" w:eastAsia="Times New Roman" w:hAnsi="Times New Roman"/>
          <w:sz w:val="18"/>
          <w:szCs w:val="18"/>
          <w:color w:val="auto"/>
        </w:rPr>
        <w:t>The operations of the Oral, Personal and Home Care product segment are managed geographically in four reportable operating segments: North America, Latin America, EMEA and Asia Pacific.</w:t>
      </w:r>
    </w:p>
    <w:p>
      <w:pPr>
        <w:spacing w:after="0" w:line="189" w:lineRule="exact"/>
        <w:rPr>
          <w:sz w:val="20"/>
          <w:szCs w:val="20"/>
          <w:color w:val="auto"/>
        </w:rPr>
      </w:pPr>
    </w:p>
    <w:p>
      <w:pPr>
        <w:ind w:left="332" w:right="20"/>
        <w:spacing w:after="0" w:line="253" w:lineRule="auto"/>
        <w:rPr>
          <w:sz w:val="20"/>
          <w:szCs w:val="20"/>
          <w:color w:val="auto"/>
        </w:rPr>
      </w:pPr>
      <w:r>
        <w:rPr>
          <w:rFonts w:ascii="Times New Roman" w:cs="Times New Roman" w:eastAsia="Times New Roman" w:hAnsi="Times New Roman"/>
          <w:sz w:val="18"/>
          <w:szCs w:val="18"/>
          <w:color w:val="auto"/>
        </w:rPr>
        <w:t>As part of the Strategic Growth and Productivity Program, to further optimize and leverage the operating scale and drive growth within the Europe and Africa/Eurasia regions, the Company realigned its reportable operating segments effective for the quarter ended March 31, 2026. As a result, the Company combined the results of its Europe and Africa/Eurasia (excluding Russia and Belarus) reportable operating segments and its skin health business (previously within the North America reportable operating segment) into a new EMEA reportable operating segment. In conjunction with this realignment, Russia and Belarus, which were previously reported within the Africa/Eurasia reportable operating segment, are reported within the Asia Pacific reportable operating segment. This reportable operating segment realignment did not impact the Company’s historical consolidated results of operations, financial position or cash flows. The Company has recast its historical geographic segment information to conform to the new reporting structure. As a result of this reporting structure realignment, the Company reallocated goodwill of approximately $19 from the EMEA segment to the Asia Pacific segment. In conjunction with this reporting structure realignment, the Company completed an assessment indicating no goodwill impairment existed as a result of this new segment reporting structure.</w:t>
      </w:r>
    </w:p>
    <w:p>
      <w:pPr>
        <w:spacing w:after="0" w:line="221" w:lineRule="exact"/>
        <w:rPr>
          <w:sz w:val="20"/>
          <w:szCs w:val="20"/>
          <w:color w:val="auto"/>
        </w:rPr>
      </w:pPr>
    </w:p>
    <w:p>
      <w:pPr>
        <w:ind w:left="332"/>
        <w:spacing w:after="0" w:line="256" w:lineRule="auto"/>
        <w:rPr>
          <w:sz w:val="20"/>
          <w:szCs w:val="20"/>
          <w:color w:val="auto"/>
        </w:rPr>
      </w:pPr>
      <w:r>
        <w:rPr>
          <w:rFonts w:ascii="Times New Roman" w:cs="Times New Roman" w:eastAsia="Times New Roman" w:hAnsi="Times New Roman"/>
          <w:sz w:val="18"/>
          <w:szCs w:val="18"/>
          <w:color w:val="auto"/>
        </w:rPr>
        <w:t>The Company evaluates segment performance based on several factors, including Operating profit. The Company uses Operating profit as a measure of operating segment performance because it excludes the impact of Corporate-driven decisions related to interest expense and income taxes. The Chairman of the Board, President and Chief Executive Officer has been determined to be the Company’s Chief Operating Decision Maker and he uses Operating Profit to assess performance and to allocate resources for each of the reportable operating segments in the budgeting and forecasting process. Asset information by segment is not utilized for purposes of assessing performance or allocating resources, and therefore such information has not been presented.</w:t>
      </w:r>
    </w:p>
    <w:p>
      <w:pPr>
        <w:spacing w:after="0" w:line="214" w:lineRule="exact"/>
        <w:rPr>
          <w:sz w:val="20"/>
          <w:szCs w:val="20"/>
          <w:color w:val="auto"/>
        </w:rPr>
      </w:pPr>
    </w:p>
    <w:p>
      <w:pPr>
        <w:ind w:left="332" w:right="40"/>
        <w:spacing w:after="0" w:line="261" w:lineRule="auto"/>
        <w:rPr>
          <w:sz w:val="20"/>
          <w:szCs w:val="20"/>
          <w:color w:val="auto"/>
        </w:rPr>
      </w:pPr>
      <w:r>
        <w:rPr>
          <w:rFonts w:ascii="Times New Roman" w:cs="Times New Roman" w:eastAsia="Times New Roman" w:hAnsi="Times New Roman"/>
          <w:sz w:val="18"/>
          <w:szCs w:val="18"/>
          <w:color w:val="auto"/>
        </w:rPr>
        <w:t>The accounting policies of the operating segments are generally the same as those described in Note 2, Summary of Significant Accounting Policies to the Company’s Consolidated Financial Statements included in the Company’s Annual Report on Form 10-K for the year ended December 31,</w:t>
      </w:r>
    </w:p>
    <w:p>
      <w:pPr>
        <w:ind w:left="332" w:right="40"/>
        <w:spacing w:after="0" w:line="253" w:lineRule="auto"/>
        <w:rPr>
          <w:sz w:val="20"/>
          <w:szCs w:val="20"/>
          <w:color w:val="auto"/>
        </w:rPr>
      </w:pPr>
      <w:r>
        <w:rPr>
          <w:rFonts w:ascii="Times New Roman" w:cs="Times New Roman" w:eastAsia="Times New Roman" w:hAnsi="Times New Roman"/>
          <w:sz w:val="18"/>
          <w:szCs w:val="18"/>
          <w:color w:val="auto"/>
        </w:rPr>
        <w:t>2025. Intercompany sales have been eliminated. Corporate operations include costs related to stock options and restricted stock units, research and development costs, Corporate overhead costs, restructuring and related implementation charges and gains and losses on sales of non-core product lines and assets. The Company reports these items within Corporate operations as they relate to Corporate-based responsibilities and decisions and are not included in the internal measures of segment operating performance used by the Company to measure the underlying performance of the operating segments.</w:t>
      </w:r>
    </w:p>
    <w:p>
      <w:pPr>
        <w:spacing w:after="0" w:line="214" w:lineRule="exact"/>
        <w:rPr>
          <w:sz w:val="20"/>
          <w:szCs w:val="20"/>
          <w:color w:val="auto"/>
        </w:rPr>
      </w:pPr>
    </w:p>
    <w:p>
      <w:pPr>
        <w:ind w:left="332" w:right="260"/>
        <w:spacing w:after="0" w:line="266" w:lineRule="auto"/>
        <w:rPr>
          <w:sz w:val="20"/>
          <w:szCs w:val="20"/>
          <w:color w:val="auto"/>
        </w:rPr>
      </w:pPr>
      <w:r>
        <w:rPr>
          <w:rFonts w:ascii="Times New Roman" w:cs="Times New Roman" w:eastAsia="Times New Roman" w:hAnsi="Times New Roman"/>
          <w:sz w:val="18"/>
          <w:szCs w:val="18"/>
          <w:color w:val="auto"/>
        </w:rPr>
        <w:t>Approximately two-thirds of the Company’s Net sales are generated from markets outside the United States, with approximately 45% of the Company’s Net sales coming from emerging markets (which consist of Latin America, Asia (excluding Japan), Africa, the Middle East and Eastern and Central Europe).</w:t>
      </w:r>
    </w:p>
    <w:p>
      <w:pPr>
        <w:spacing w:after="0" w:line="203" w:lineRule="exact"/>
        <w:rPr>
          <w:sz w:val="20"/>
          <w:szCs w:val="20"/>
          <w:color w:val="auto"/>
        </w:rPr>
      </w:pPr>
    </w:p>
    <w:p>
      <w:pPr>
        <w:ind w:left="332" w:right="880"/>
        <w:spacing w:after="0" w:line="282" w:lineRule="auto"/>
        <w:rPr>
          <w:sz w:val="20"/>
          <w:szCs w:val="20"/>
          <w:color w:val="auto"/>
        </w:rPr>
      </w:pPr>
      <w:r>
        <w:rPr>
          <w:rFonts w:ascii="Times New Roman" w:cs="Times New Roman" w:eastAsia="Times New Roman" w:hAnsi="Times New Roman"/>
          <w:sz w:val="18"/>
          <w:szCs w:val="18"/>
          <w:color w:val="auto"/>
        </w:rPr>
        <w:t>Corporate Operating profit (loss) for the three months ended September 30, 2026 included charges resulting from the Strategic Growth and Productivity Program of $29.</w:t>
      </w:r>
    </w:p>
    <w:p>
      <w:pPr>
        <w:spacing w:after="0" w:line="189" w:lineRule="exact"/>
        <w:rPr>
          <w:sz w:val="20"/>
          <w:szCs w:val="20"/>
          <w:color w:val="auto"/>
        </w:rPr>
      </w:pPr>
    </w:p>
    <w:p>
      <w:pPr>
        <w:ind w:left="332"/>
        <w:spacing w:after="0" w:line="266" w:lineRule="auto"/>
        <w:rPr>
          <w:sz w:val="20"/>
          <w:szCs w:val="20"/>
          <w:color w:val="auto"/>
        </w:rPr>
      </w:pPr>
      <w:r>
        <w:rPr>
          <w:rFonts w:ascii="Times New Roman" w:cs="Times New Roman" w:eastAsia="Times New Roman" w:hAnsi="Times New Roman"/>
          <w:sz w:val="18"/>
          <w:szCs w:val="18"/>
          <w:color w:val="auto"/>
        </w:rPr>
        <w:t>Corporate Operating profit (loss) for the nine months ended September 30, 2026 included charges resulting from the Strategic Growth and Productivity Program of $327. Corporate Operating profit (loss) for the nine months ended September 30, 2025 included charges resulting from the ERISA litigation matter of $15 and acquisition-related costs of $9.</w:t>
      </w:r>
    </w:p>
    <w:p>
      <w:pPr>
        <w:sectPr>
          <w:pgSz w:w="11900" w:h="16838" w:orient="portrait"/>
          <w:cols w:equalWidth="0" w:num="1">
            <w:col w:w="11212"/>
          </w:cols>
          <w:pgMar w:left="328" w:top="1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71" w:right="359" w:bottom="1440" w:gutter="0" w:footer="0" w:header="0"/>
          <w:type w:val="continuous"/>
        </w:sectPr>
      </w:pPr>
    </w:p>
    <w:bookmarkStart w:id="18" w:name="page19"/>
    <w:bookmarkEnd w:id="18"/>
    <w:p>
      <w:pPr>
        <w:ind w:left="390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sales, significant segment expenses and operating profit by reportable segment were: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Selling, general</w:t>
            </w:r>
          </w:p>
        </w:tc>
        <w:tc>
          <w:tcPr>
            <w:tcW w:w="120" w:type="dxa"/>
            <w:vAlign w:val="bottom"/>
          </w:tcPr>
          <w:p>
            <w:pPr>
              <w:spacing w:after="0"/>
              <w:rPr>
                <w:sz w:val="15"/>
                <w:szCs w:val="15"/>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tcPr>
          <w:p>
            <w:pPr>
              <w:spacing w:after="0"/>
              <w:rPr>
                <w:sz w:val="15"/>
                <w:szCs w:val="15"/>
                <w:color w:val="auto"/>
              </w:rPr>
            </w:pP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149"/>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expense, net </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16"/>
                <w:szCs w:val="16"/>
                <w:color w:val="auto"/>
              </w:rPr>
            </w:pPr>
          </w:p>
        </w:tc>
        <w:tc>
          <w:tcPr>
            <w:tcW w:w="106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Profit</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with Total Company</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55" w:lineRule="exact"/>
        <w:rPr>
          <w:sz w:val="20"/>
          <w:szCs w:val="20"/>
          <w:color w:val="auto"/>
        </w:rPr>
      </w:pPr>
    </w:p>
    <w:p>
      <w:pPr>
        <w:ind w:left="240" w:hanging="128"/>
        <w:spacing w:after="0"/>
        <w:tabs>
          <w:tab w:leader="none" w:pos="24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(income) expense, net primarily includes amortization of intangible assets and equity income.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vMerge w:val="restart"/>
          </w:tcPr>
          <w:p>
            <w:pPr>
              <w:jc w:val="right"/>
              <w:ind w:right="189"/>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Selling, general</w:t>
            </w:r>
          </w:p>
        </w:tc>
        <w:tc>
          <w:tcPr>
            <w:tcW w:w="140" w:type="dxa"/>
            <w:vAlign w:val="bottom"/>
          </w:tcPr>
          <w:p>
            <w:pPr>
              <w:spacing w:after="0"/>
              <w:rPr>
                <w:sz w:val="22"/>
                <w:szCs w:val="22"/>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Other (income)</w:t>
            </w:r>
          </w:p>
        </w:tc>
        <w:tc>
          <w:tcPr>
            <w:tcW w:w="180" w:type="dxa"/>
            <w:vAlign w:val="bottom"/>
          </w:tcPr>
          <w:p>
            <w:pPr>
              <w:spacing w:after="0"/>
              <w:rPr>
                <w:sz w:val="22"/>
                <w:szCs w:val="22"/>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administrative</w:t>
            </w: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expense, net </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5"/>
                <w:szCs w:val="15"/>
                <w:color w:val="auto"/>
              </w:rPr>
            </w:pPr>
          </w:p>
        </w:tc>
        <w:tc>
          <w:tcPr>
            <w:tcW w:w="110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b w:val="1"/>
                <w:bCs w:val="1"/>
                <w:color w:val="auto"/>
              </w:rPr>
              <w:t>Profit</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43"/>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Hill's Pet Nutrition</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with Total Company Operating</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69" w:lineRule="exact"/>
        <w:rPr>
          <w:sz w:val="20"/>
          <w:szCs w:val="20"/>
          <w:color w:val="auto"/>
        </w:rPr>
      </w:pPr>
    </w:p>
    <w:p>
      <w:pPr>
        <w:ind w:left="240" w:hanging="128"/>
        <w:spacing w:after="0"/>
        <w:tabs>
          <w:tab w:leader="none" w:pos="24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(income) expense, net primarily includes amortization of intangible assets and equity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171" w:right="539" w:bottom="1440" w:gutter="0" w:footer="0" w:header="0"/>
        </w:sectPr>
      </w:pPr>
    </w:p>
    <w:bookmarkStart w:id="19" w:name="page20"/>
    <w:bookmarkEnd w:id="19"/>
    <w:p>
      <w:pPr>
        <w:ind w:left="386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26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24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89"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Selling, general</w:t>
            </w:r>
          </w:p>
        </w:tc>
        <w:tc>
          <w:tcPr>
            <w:tcW w:w="120" w:type="dxa"/>
            <w:vAlign w:val="bottom"/>
          </w:tcPr>
          <w:p>
            <w:pPr>
              <w:spacing w:after="0"/>
              <w:rPr>
                <w:sz w:val="15"/>
                <w:szCs w:val="15"/>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tcPr>
          <w:p>
            <w:pPr>
              <w:spacing w:after="0"/>
              <w:rPr>
                <w:sz w:val="15"/>
                <w:szCs w:val="15"/>
                <w:color w:val="auto"/>
              </w:rPr>
            </w:pP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149"/>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 xml:space="preserve">expense, net </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5"/>
                <w:szCs w:val="15"/>
                <w:color w:val="auto"/>
              </w:rPr>
            </w:pPr>
          </w:p>
        </w:tc>
        <w:tc>
          <w:tcPr>
            <w:tcW w:w="1060" w:type="dxa"/>
            <w:vAlign w:val="bottom"/>
          </w:tcPr>
          <w:p>
            <w:pPr>
              <w:jc w:val="right"/>
              <w:ind w:right="290"/>
              <w:spacing w:after="0" w:line="180" w:lineRule="exact"/>
              <w:rPr>
                <w:sz w:val="20"/>
                <w:szCs w:val="20"/>
                <w:color w:val="auto"/>
              </w:rPr>
            </w:pPr>
            <w:r>
              <w:rPr>
                <w:rFonts w:ascii="Times New Roman" w:cs="Times New Roman" w:eastAsia="Times New Roman" w:hAnsi="Times New Roman"/>
                <w:sz w:val="18"/>
                <w:szCs w:val="18"/>
                <w:b w:val="1"/>
                <w:bCs w:val="1"/>
                <w:color w:val="auto"/>
              </w:rPr>
              <w:t>Profit</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with Total Company</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69" w:lineRule="exact"/>
        <w:rPr>
          <w:sz w:val="20"/>
          <w:szCs w:val="20"/>
          <w:color w:val="auto"/>
        </w:rPr>
      </w:pPr>
    </w:p>
    <w:p>
      <w:pPr>
        <w:ind w:left="209" w:hanging="128"/>
        <w:spacing w:after="0"/>
        <w:tabs>
          <w:tab w:leader="none" w:pos="2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(income) expense, net primarily includes amortization of intangible assets and equity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9"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Selling, general</w:t>
            </w:r>
          </w:p>
        </w:tc>
        <w:tc>
          <w:tcPr>
            <w:tcW w:w="120" w:type="dxa"/>
            <w:vAlign w:val="bottom"/>
          </w:tcPr>
          <w:p>
            <w:pPr>
              <w:spacing w:after="0"/>
              <w:rPr>
                <w:sz w:val="15"/>
                <w:szCs w:val="15"/>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tcPr>
          <w:p>
            <w:pPr>
              <w:spacing w:after="0"/>
              <w:rPr>
                <w:sz w:val="15"/>
                <w:szCs w:val="15"/>
                <w:color w:val="auto"/>
              </w:rPr>
            </w:pP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 xml:space="preserve">expense, net </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5"/>
                <w:szCs w:val="15"/>
                <w:color w:val="auto"/>
              </w:rPr>
            </w:pPr>
          </w:p>
        </w:tc>
        <w:tc>
          <w:tcPr>
            <w:tcW w:w="1060" w:type="dxa"/>
            <w:vAlign w:val="bottom"/>
          </w:tcPr>
          <w:p>
            <w:pPr>
              <w:jc w:val="right"/>
              <w:ind w:right="290"/>
              <w:spacing w:after="0" w:line="180" w:lineRule="exact"/>
              <w:rPr>
                <w:sz w:val="20"/>
                <w:szCs w:val="20"/>
                <w:color w:val="auto"/>
              </w:rPr>
            </w:pPr>
            <w:r>
              <w:rPr>
                <w:rFonts w:ascii="Times New Roman" w:cs="Times New Roman" w:eastAsia="Times New Roman" w:hAnsi="Times New Roman"/>
                <w:sz w:val="18"/>
                <w:szCs w:val="18"/>
                <w:b w:val="1"/>
                <w:bCs w:val="1"/>
                <w:color w:val="auto"/>
              </w:rPr>
              <w:t>Profit</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with Total Company</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3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69" w:lineRule="exact"/>
        <w:rPr>
          <w:sz w:val="20"/>
          <w:szCs w:val="20"/>
          <w:color w:val="auto"/>
        </w:rPr>
      </w:pPr>
    </w:p>
    <w:p>
      <w:pPr>
        <w:ind w:left="129" w:hanging="129"/>
        <w:spacing w:after="0"/>
        <w:tabs>
          <w:tab w:leader="none" w:pos="129"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(income) expense, net primarily includes amortization of intangible assets and equity income.</w:t>
      </w:r>
    </w:p>
    <w:p>
      <w:pPr>
        <w:sectPr>
          <w:pgSz w:w="11900" w:h="16838" w:orient="portrait"/>
          <w:cols w:equalWidth="0" w:num="1">
            <w:col w:w="10589"/>
          </w:cols>
          <w:pgMar w:left="571" w:top="17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68"/>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9"/>
          </w:cols>
          <w:pgMar w:left="571" w:top="171" w:right="739" w:bottom="1440" w:gutter="0" w:footer="0" w:header="0"/>
          <w:type w:val="continuous"/>
        </w:sectPr>
      </w:pPr>
    </w:p>
    <w:bookmarkStart w:id="20" w:name="page21"/>
    <w:bookmarkEnd w:id="20"/>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Company’s Net sales of Oral, Personal and Home Care and Pet Nutrition products accounted for the following percentages of the Company’s 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3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3"/>
        </w:trPr>
        <w:tc>
          <w:tcPr>
            <w:tcW w:w="47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1"/>
                <w:szCs w:val="21"/>
                <w:color w:val="auto"/>
              </w:rPr>
            </w:pPr>
          </w:p>
        </w:tc>
      </w:tr>
      <w:tr>
        <w:trPr>
          <w:trHeight w:val="237"/>
        </w:trPr>
        <w:tc>
          <w:tcPr>
            <w:tcW w:w="5620" w:type="dxa"/>
            <w:vAlign w:val="bottom"/>
            <w:gridSpan w:val="2"/>
          </w:tcPr>
          <w:p>
            <w:pPr>
              <w:ind w:left="526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Oral Care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Personal Care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Care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Pet Nutrition</w:t>
            </w:r>
          </w:p>
        </w:tc>
        <w:tc>
          <w:tcPr>
            <w:tcW w:w="8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and amortization expense by segment were: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9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34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1"/>
                <w:szCs w:val="21"/>
                <w:color w:val="auto"/>
              </w:rPr>
            </w:pPr>
          </w:p>
        </w:tc>
      </w:tr>
      <w:tr>
        <w:trPr>
          <w:trHeight w:val="236"/>
        </w:trPr>
        <w:tc>
          <w:tcPr>
            <w:tcW w:w="3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0"/>
        </w:trPr>
        <w:tc>
          <w:tcPr>
            <w:tcW w:w="3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9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34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r>
      <w:tr>
        <w:trPr>
          <w:trHeight w:val="237"/>
        </w:trPr>
        <w:tc>
          <w:tcPr>
            <w:tcW w:w="3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0"/>
        </w:trPr>
        <w:tc>
          <w:tcPr>
            <w:tcW w:w="3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660" w:top="17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60" w:top="171" w:right="439" w:bottom="1440" w:gutter="0" w:footer="0" w:header="0"/>
          <w:type w:val="continuous"/>
        </w:sectPr>
      </w:pPr>
    </w:p>
    <w:bookmarkStart w:id="21" w:name="page22"/>
    <w:bookmarkEnd w:id="2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 and Financial Instruments</w:t>
      </w:r>
    </w:p>
    <w:p>
      <w:pPr>
        <w:spacing w:after="0" w:line="256"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The Company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 The Company is exposed to the risk of credit loss in the event of nonperformance by counterparties to financial instrument contracts; however, nonperformance is considered unlikely and any nonperformance is unlikely to be material, as it is the Company’s policy to contract only with diverse, credit-worthy counterparties based upon both strong credit ratings and other credit considerations.</w:t>
      </w:r>
    </w:p>
    <w:p>
      <w:pPr>
        <w:spacing w:after="0" w:line="210"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sourcing strategies, selling price increases, selective borrowings in local currencies and entering into selective derivative instrument transactions, issued with standard features, in accordance with the Company’s treasury and risk management policies, which prohibit the use of derivatives for speculative purposes and leveraged derivatives for any purpose. The Company’s policy is generally to enter into derivative instrument contracts with terms that match the underlying exposure being hedged.</w:t>
      </w:r>
    </w:p>
    <w:p>
      <w:pPr>
        <w:spacing w:after="0" w:line="214" w:lineRule="exact"/>
        <w:rPr>
          <w:sz w:val="20"/>
          <w:szCs w:val="20"/>
          <w:color w:val="auto"/>
        </w:rPr>
      </w:pPr>
    </w:p>
    <w:p>
      <w:pPr>
        <w:ind w:left="340" w:right="240"/>
        <w:spacing w:after="0" w:line="255" w:lineRule="auto"/>
        <w:rPr>
          <w:sz w:val="20"/>
          <w:szCs w:val="20"/>
          <w:color w:val="auto"/>
        </w:rPr>
      </w:pPr>
      <w:r>
        <w:rPr>
          <w:rFonts w:ascii="Times New Roman" w:cs="Times New Roman" w:eastAsia="Times New Roman" w:hAnsi="Times New Roman"/>
          <w:sz w:val="18"/>
          <w:szCs w:val="18"/>
          <w:color w:val="auto"/>
        </w:rPr>
        <w:t>The Company’s derivative instruments include foreign currency contracts and commodity contracts, which are either designated as cash flow, fair value, or net investment hedges, or are not designated as accounting hedges (“economic hedges”). The Company utilizes foreign currency contracts, including forward and swap contracts, local currency deposits and local currency borrowings to hedge portions of its forecasted foreign currency purchases, assets and liabilities arising in the normal course of business and the net investment in certain foreign subsidiaries. These contracts are valued using observable market rates (Level 2 valuation). Commodity futures contracts are utilized to hedge the purchases of raw materials used in production. These contracts are measured using quoted commodity exchange prices (Level 1 valuation). The duration of foreign currency and commodity contracts does not exceed 12 months.</w:t>
      </w:r>
    </w:p>
    <w:p>
      <w:pPr>
        <w:spacing w:after="0" w:line="216"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instruments and other financial instruments which are carried at fair value in the Company’s Condensed Consolidated Balance Sheets at September 30, 2026 and December 31, 2025:</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240" w:type="dxa"/>
            <w:vAlign w:val="bottom"/>
          </w:tcPr>
          <w:p>
            <w:pPr>
              <w:spacing w:after="0"/>
              <w:rPr>
                <w:sz w:val="24"/>
                <w:szCs w:val="24"/>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8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20" w:type="dxa"/>
            <w:vAlign w:val="bottom"/>
          </w:tcPr>
          <w:p>
            <w:pPr>
              <w:spacing w:after="0"/>
              <w:rPr>
                <w:sz w:val="24"/>
                <w:szCs w:val="24"/>
                <w:color w:val="auto"/>
              </w:rPr>
            </w:pPr>
          </w:p>
        </w:tc>
        <w:tc>
          <w:tcPr>
            <w:tcW w:w="24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gridSpan w:val="3"/>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80" w:type="dxa"/>
            <w:vAlign w:val="bottom"/>
            <w:tcBorders>
              <w:top w:val="single" w:sz="8" w:color="auto"/>
            </w:tcBorders>
            <w:gridSpan w:val="2"/>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gridSpan w:val="3"/>
          </w:tcPr>
          <w:p>
            <w:pPr>
              <w:jc w:val="right"/>
              <w:ind w:right="16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03"/>
        </w:trPr>
        <w:tc>
          <w:tcPr>
            <w:tcW w:w="2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assets</w:t>
            </w: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4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current</w:t>
            </w:r>
          </w:p>
        </w:tc>
        <w:tc>
          <w:tcPr>
            <w:tcW w:w="88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12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240" w:type="dxa"/>
            <w:vAlign w:val="bottom"/>
            <w:vMerge w:val="continue"/>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current</w:t>
            </w:r>
          </w:p>
        </w:tc>
        <w:tc>
          <w:tcPr>
            <w:tcW w:w="880" w:type="dxa"/>
            <w:vAlign w:val="bottom"/>
            <w:vMerge w:val="restart"/>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40" w:type="dxa"/>
            <w:vAlign w:val="bottom"/>
            <w:vMerge w:val="continue"/>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40" w:type="dxa"/>
            <w:vAlign w:val="bottom"/>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420" w:right="1680" w:hanging="88"/>
        <w:spacing w:after="0" w:line="335" w:lineRule="auto"/>
        <w:tabs>
          <w:tab w:leader="none" w:pos="471"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September 30, 2026, the fair value of economic hedges was $5 and $5, which was included within Other current assets and Other accruals, respectively. As of December 31, 2025, the fair value of economic hedges was $10 and $4, which was included within Other current assets and Other accruals, respectively.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ind w:left="386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26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24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left="89" w:right="160"/>
        <w:spacing w:after="0" w:line="261" w:lineRule="auto"/>
        <w:rPr>
          <w:sz w:val="20"/>
          <w:szCs w:val="20"/>
          <w:color w:val="auto"/>
        </w:rPr>
      </w:pPr>
      <w:r>
        <w:rPr>
          <w:rFonts w:ascii="Times New Roman" w:cs="Times New Roman" w:eastAsia="Times New Roman" w:hAnsi="Times New Roman"/>
          <w:sz w:val="18"/>
          <w:szCs w:val="18"/>
          <w:color w:val="auto"/>
        </w:rPr>
        <w:t>The carrying amount of cash, cash equivalents, marketable securities and accounts receivable approximated fair value as of September 30, 2026 and December 31, 2025. The estimated fair value of the Company’s total debt as of September 30, 2026 and December 31, 2025 was $6,988 and $7,518, respectively, and the related carrying value was $7,716 and $7,988, respectively. The estimated fair value of long-term debt was derived principally from quoted prices on the Company’s outstanding fixed-term notes (Level 2 valuation).</w:t>
      </w:r>
    </w:p>
    <w:p>
      <w:pPr>
        <w:spacing w:after="0" w:line="207" w:lineRule="exact"/>
        <w:rPr>
          <w:sz w:val="20"/>
          <w:szCs w:val="20"/>
          <w:color w:val="auto"/>
        </w:rPr>
      </w:pPr>
    </w:p>
    <w:p>
      <w:pPr>
        <w:ind w:left="89"/>
        <w:spacing w:after="0"/>
        <w:rPr>
          <w:sz w:val="20"/>
          <w:szCs w:val="20"/>
          <w:color w:val="auto"/>
        </w:rPr>
      </w:pPr>
      <w:r>
        <w:rPr>
          <w:rFonts w:ascii="Times New Roman" w:cs="Times New Roman" w:eastAsia="Times New Roman" w:hAnsi="Times New Roman"/>
          <w:sz w:val="18"/>
          <w:szCs w:val="18"/>
          <w:color w:val="auto"/>
        </w:rPr>
        <w:t>The following table presents the notional values of the financial instruments used in our hedge activities:</w:t>
      </w:r>
    </w:p>
    <w:p>
      <w:pPr>
        <w:spacing w:after="0" w:line="302" w:lineRule="exact"/>
        <w:rPr>
          <w:sz w:val="20"/>
          <w:szCs w:val="20"/>
          <w:color w:val="auto"/>
        </w:rPr>
      </w:pPr>
    </w:p>
    <w:tbl>
      <w:tblPr>
        <w:tblLayout w:type="fixed"/>
        <w:tblInd w:w="89" w:type="dxa"/>
        <w:tblCellMar>
          <w:top w:w="0" w:type="dxa"/>
          <w:left w:w="0" w:type="dxa"/>
          <w:bottom w:w="0" w:type="dxa"/>
          <w:right w:w="0" w:type="dxa"/>
        </w:tblCellMar>
      </w:tblPr>
      <w:tr>
        <w:trPr>
          <w:trHeight w:val="238"/>
        </w:trPr>
        <w:tc>
          <w:tcPr>
            <w:tcW w:w="516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6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Debt</w:t>
            </w:r>
          </w:p>
        </w:tc>
        <w:tc>
          <w:tcPr>
            <w:tcW w:w="2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c>
          <w:tcPr>
            <w:tcW w:w="4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0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9"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location and amount of gain (loss) on fair value hedges and economic hedges recognized in the Company’s Condensed Consolidated Statements of Income for three and nine months ended September 30, 2026 and 2025.</w:t>
      </w:r>
    </w:p>
    <w:p>
      <w:pPr>
        <w:spacing w:after="0" w:line="239" w:lineRule="exact"/>
        <w:rPr>
          <w:sz w:val="20"/>
          <w:szCs w:val="20"/>
          <w:color w:val="auto"/>
        </w:rPr>
      </w:pPr>
    </w:p>
    <w:tbl>
      <w:tblPr>
        <w:tblLayout w:type="fixed"/>
        <w:tblInd w:w="89"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Gain (Loss) Recognized in Income</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680" w:type="dxa"/>
            <w:vAlign w:val="bottom"/>
          </w:tcPr>
          <w:p>
            <w:pPr>
              <w:spacing w:after="0"/>
              <w:rPr>
                <w:sz w:val="15"/>
                <w:szCs w:val="15"/>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2760" w:type="dxa"/>
            <w:vAlign w:val="bottom"/>
            <w:gridSpan w:val="6"/>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80" w:type="dxa"/>
            <w:vAlign w:val="bottom"/>
            <w:gridSpan w:val="5"/>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gridSpan w:val="3"/>
          </w:tcPr>
          <w:p>
            <w:pPr>
              <w:jc w:val="right"/>
              <w:ind w:right="260"/>
              <w:spacing w:after="0" w:line="137" w:lineRule="exact"/>
              <w:rPr>
                <w:sz w:val="20"/>
                <w:szCs w:val="20"/>
                <w:color w:val="auto"/>
              </w:rPr>
            </w:pPr>
            <w:r>
              <w:rPr>
                <w:rFonts w:ascii="Times New Roman" w:cs="Times New Roman" w:eastAsia="Times New Roman" w:hAnsi="Times New Roman"/>
                <w:sz w:val="15"/>
                <w:szCs w:val="15"/>
                <w:b w:val="1"/>
                <w:bCs w:val="1"/>
                <w:color w:val="auto"/>
              </w:rPr>
              <w:t>30,</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3"/>
          </w:tcPr>
          <w:p>
            <w:pPr>
              <w:jc w:val="right"/>
              <w:ind w:right="200"/>
              <w:spacing w:after="0" w:line="137" w:lineRule="exact"/>
              <w:rPr>
                <w:sz w:val="20"/>
                <w:szCs w:val="20"/>
                <w:color w:val="auto"/>
              </w:rPr>
            </w:pPr>
            <w:r>
              <w:rPr>
                <w:rFonts w:ascii="Times New Roman" w:cs="Times New Roman" w:eastAsia="Times New Roman" w:hAnsi="Times New Roman"/>
                <w:sz w:val="15"/>
                <w:szCs w:val="15"/>
                <w:b w:val="1"/>
                <w:bCs w:val="1"/>
                <w:color w:val="auto"/>
              </w:rPr>
              <w:t>30,</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rPr>
                <w:sz w:val="9"/>
                <w:szCs w:val="9"/>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9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restart"/>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24"/>
        </w:trPr>
        <w:tc>
          <w:tcPr>
            <w:tcW w:w="268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and</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9"/>
                <w:szCs w:val="9"/>
                <w:color w:val="auto"/>
              </w:rPr>
              <w:t>(1)</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9" w:right="2860" w:hanging="9"/>
        <w:spacing w:after="0" w:line="276" w:lineRule="auto"/>
        <w:tabs>
          <w:tab w:leader="none" w:pos="154"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and nine months ended September 30, 2026, the amount of gain (loss) on economic hedges was ($2) and ($52), respectively. For the three and nine months ended September 30, 2025, the amount of gain (loss) on economic hedges was ($11) and $68, respectively.</w:t>
      </w:r>
    </w:p>
    <w:p>
      <w:pPr>
        <w:spacing w:after="0" w:line="200" w:lineRule="exact"/>
        <w:rPr>
          <w:sz w:val="20"/>
          <w:szCs w:val="20"/>
          <w:color w:val="auto"/>
        </w:rPr>
      </w:pPr>
    </w:p>
    <w:p>
      <w:pPr>
        <w:spacing w:after="0" w:line="232" w:lineRule="exact"/>
        <w:rPr>
          <w:sz w:val="20"/>
          <w:szCs w:val="20"/>
          <w:color w:val="auto"/>
        </w:rPr>
      </w:pPr>
    </w:p>
    <w:p>
      <w:pPr>
        <w:ind w:left="89"/>
        <w:spacing w:after="0" w:line="250" w:lineRule="auto"/>
        <w:rPr>
          <w:sz w:val="20"/>
          <w:szCs w:val="20"/>
          <w:color w:val="auto"/>
        </w:rPr>
      </w:pPr>
      <w:r>
        <w:rPr>
          <w:rFonts w:ascii="Times New Roman" w:cs="Times New Roman" w:eastAsia="Times New Roman" w:hAnsi="Times New Roman"/>
          <w:sz w:val="18"/>
          <w:szCs w:val="18"/>
          <w:color w:val="auto"/>
        </w:rPr>
        <w:t>The amount of gain (loss) recognized in income and Accumulated other comprehensive income (AOCI) associated with cash flow hedges did not have a material impact on the Company’s Condensed Consolidated Financial Statements during the three and nine months ended September 30, 2026 and 2025.</w:t>
      </w:r>
    </w:p>
    <w:p>
      <w:pPr>
        <w:spacing w:after="0" w:line="217" w:lineRule="exact"/>
        <w:rPr>
          <w:sz w:val="20"/>
          <w:szCs w:val="20"/>
          <w:color w:val="auto"/>
        </w:rPr>
      </w:pPr>
    </w:p>
    <w:p>
      <w:pPr>
        <w:ind w:left="89"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on net investment hedges recognized in the Company’s AOCI for the three and nine months ended September 30, 2026 and 2025:</w:t>
      </w:r>
    </w:p>
    <w:p>
      <w:pPr>
        <w:spacing w:after="0" w:line="239" w:lineRule="exact"/>
        <w:rPr>
          <w:sz w:val="20"/>
          <w:szCs w:val="20"/>
          <w:color w:val="auto"/>
        </w:rPr>
      </w:pPr>
    </w:p>
    <w:tbl>
      <w:tblPr>
        <w:tblLayout w:type="fixed"/>
        <w:tblInd w:w="89"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Gain (Loss) Recognized in AOCI</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36"/>
        </w:trPr>
        <w:tc>
          <w:tcPr>
            <w:tcW w:w="4440" w:type="dxa"/>
            <w:vAlign w:val="bottom"/>
          </w:tcPr>
          <w:p>
            <w:pPr>
              <w:spacing w:after="0"/>
              <w:rPr>
                <w:sz w:val="20"/>
                <w:szCs w:val="20"/>
                <w:color w:val="auto"/>
              </w:rPr>
            </w:pPr>
          </w:p>
        </w:tc>
        <w:tc>
          <w:tcPr>
            <w:tcW w:w="31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8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37"/>
        </w:trPr>
        <w:tc>
          <w:tcPr>
            <w:tcW w:w="44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debt</w:t>
            </w: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62"/>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gain (loss) on net investment hedges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9"/>
          </w:cols>
          <w:pgMar w:left="571" w:top="17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9"/>
          </w:cols>
          <w:pgMar w:left="571" w:top="171" w:right="399" w:bottom="1440" w:gutter="0" w:footer="0" w:header="0"/>
          <w:type w:val="continuous"/>
        </w:sectPr>
      </w:pPr>
    </w:p>
    <w:bookmarkStart w:id="23" w:name="page24"/>
    <w:bookmarkEnd w:id="2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Supplier Finance Program</w:t>
      </w:r>
    </w:p>
    <w:p>
      <w:pPr>
        <w:spacing w:after="0" w:line="256"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Company has agreements to provide supplier finance programs which facilitate participating suppliers’ ability to finance payment obligations of the Company with designated third-party financial institutions. Participating suppliers may, at their sole discretion, elect to finance one or more payment obligations of the Company prior to their scheduled due dates at a discounted price to participating financial institutions. The Company’s obligations to its suppliers, including amounts due and scheduled payment dates, are not impacted by suppliers’ decisions to finance amounts under these arrangements. The outstanding payment obligations under the Company’s supplier finance programs are included in Accounts payable in the Condensed Consolidated Balance Sheets and were $218 and $177 as of September 30, 2026 and December 31, 2025, respectively.</w:t>
      </w:r>
    </w:p>
    <w:p>
      <w:pPr>
        <w:sectPr>
          <w:pgSz w:w="11900" w:h="16838" w:orient="portrait"/>
          <w:cols w:equalWidth="0" w:num="1">
            <w:col w:w="11040"/>
          </w:cols>
          <w:pgMar w:left="320" w:top="171" w:right="5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71" w:right="539" w:bottom="1149" w:gutter="0" w:footer="0" w:header="0"/>
          <w:type w:val="continuous"/>
        </w:sectPr>
      </w:pPr>
    </w:p>
    <w:bookmarkStart w:id="24" w:name="page25"/>
    <w:bookmarkEnd w:id="2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23.6% and 22.8% for the third quarter of 2026 and 2025, respectively. The quarterly provision for income taxes is determined based on the Company’s estimated full year effective income tax rate adjusted by the amount of tax attributable to infrequent or unusual items that are separately recognized on a discrete basis in the income tax provision in the quarter in which they occur. The Company’s current estimate of its full year effective income tax rate before discrete period items is 23.5% compared to 23.3% in 2025.</w:t>
      </w:r>
    </w:p>
    <w:p>
      <w:pPr>
        <w:spacing w:after="0" w:line="207"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On July 4, 2025, U.S. tax legislation was signed into law (the “OBBBA”) which made permanent many of the tax provisions enacted in 2017 as part of the Tax Cuts and Jobs Act that were set to expire at the end of 2025. In addition, the OBBBA made changes to certain U.S. corporate tax provisions, many of which were effective beginning January 1, 2026. The OBBBA did not have a material effect on the Company’s Consolidated Financial Statements for the nine months ended September 30, 2026.</w:t>
      </w:r>
    </w:p>
    <w:p>
      <w:pPr>
        <w:spacing w:after="0" w:line="139"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 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spacing w:after="0" w:line="210"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On December 15, 2022, the 27 member states of the European Union (“EU”) reached an agreement to establish a minimum level of taxation for certain large corporations by paying a minimum corporate tax rate of 15% in every jurisdiction in which they operate. This agreement, which is part of the Pillar II Model Rules initiative (“Pillar II”) agreed by all members of the Organization for Economic Cooperation and Development (“OECD”) and its Inclusive Framework (“IF”), was transposed into the laws of most EU member states by December 31, 2023. Subsequently, many other jurisdictions outside the EU have enacted similar minimum tax regimes consistent with the policy of Pillar II.</w:t>
      </w:r>
    </w:p>
    <w:p>
      <w:pPr>
        <w:spacing w:after="0" w:line="210"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Based on current legislation and available guidance, apart from the significant additional time and resources required to comply, Pillar II did not have a material impact on the Company’s Consolidated Financial Statements for the nine months ended September 30, 2026 and the Company does not believe it will have a material impact going forward.</w:t>
      </w:r>
    </w:p>
    <w:p>
      <w:pPr>
        <w:spacing w:after="0" w:line="189" w:lineRule="exact"/>
        <w:rPr>
          <w:sz w:val="20"/>
          <w:szCs w:val="20"/>
          <w:color w:val="auto"/>
        </w:rPr>
      </w:pPr>
    </w:p>
    <w:p>
      <w:pPr>
        <w:ind w:left="340" w:right="100"/>
        <w:spacing w:after="0" w:line="245" w:lineRule="auto"/>
        <w:rPr>
          <w:sz w:val="20"/>
          <w:szCs w:val="20"/>
          <w:color w:val="auto"/>
        </w:rPr>
      </w:pPr>
      <w:r>
        <w:rPr>
          <w:rFonts w:ascii="Times New Roman" w:cs="Times New Roman" w:eastAsia="Times New Roman" w:hAnsi="Times New Roman"/>
          <w:sz w:val="18"/>
          <w:szCs w:val="18"/>
          <w:color w:val="auto"/>
        </w:rPr>
        <w:t>On January 5, 2026, IF reached an agreement known as the “Side-by-Side Package” that modifies key aspects of Pillar II and was effective beginning January 1, 2026. The Side-by-Side Package introduces various new safe harbors that the Company is expected to be eligible for and that, when fully enacted, should result in a reduction of compliance costs of Pillar II, among other benefits. However, as these rules and related regulations are revised and implemented, the Company will evaluate the impact, if any, on its Consolidated Financial Statements.</w:t>
      </w:r>
    </w:p>
    <w:p>
      <w:pPr>
        <w:spacing w:after="0" w:line="221" w:lineRule="exact"/>
        <w:rPr>
          <w:sz w:val="20"/>
          <w:szCs w:val="20"/>
          <w:color w:val="auto"/>
        </w:rPr>
      </w:pPr>
    </w:p>
    <w:p>
      <w:pPr>
        <w:ind w:left="340" w:right="40"/>
        <w:spacing w:after="0" w:line="253" w:lineRule="auto"/>
        <w:rPr>
          <w:sz w:val="20"/>
          <w:szCs w:val="20"/>
          <w:color w:val="auto"/>
        </w:rPr>
      </w:pPr>
      <w:r>
        <w:rPr>
          <w:rFonts w:ascii="Times New Roman" w:cs="Times New Roman" w:eastAsia="Times New Roman" w:hAnsi="Times New Roman"/>
          <w:sz w:val="18"/>
          <w:szCs w:val="18"/>
          <w:color w:val="auto"/>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two unrelated third parties on similar matters. In October 2025, in one of those cases, the applicable U.S. Court of Appeals reversed the U.S. Tax Court’s decision and ruled in favor of the taxpayer. The case involving the other third party is still pending. The Company continues to believe that the tax assessment against the Company is without merit. While there can be no assurances, the Company believes this matter will ultimately be decided in favor of the Company. The amount of tax plus interest for the years 2010 through 2021 is estimated to be approximately $170, which is not included in the Company’s uncertain tax positions. In May 2024, the IRS initiated an audit for the years 2019 through 2021, which is still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5" w:name="page26"/>
    <w:bookmarkEnd w:id="2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Organization</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Colgate-Palmolive Company (together with its subsidiaries, “we,” “us,” “our,” the “Company” or “Colgate-Palmolive”) is a caring, innovative growth company united behind our purpose to reimagine a healthier future for all people, their pets and our planet. To achieve our business and financial objectives and deliver peer-leading performance and total shareholder return, we are focused on driving organic sales growth; delivering consistent, compounded earnings per share growth; achieving operational efficiencies; and driving growth in free cash flow along with the efficient use of our balance sheet.</w:t>
      </w:r>
    </w:p>
    <w:p>
      <w:pPr>
        <w:spacing w:after="0" w:line="18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are tightly focused on two product segments: Oral, Personal and Home Care; and Pet Nutrition. Within these segments, we follow a closely defined business strategy to grow our key product categories and increase our overall market share. Within the categories in which we compete, we prioritize our efforts based on their capacity to maximize the use of the organization’s core competencies and strong global equities and to deliver sustainable, profitable long-term growth.</w:t>
      </w:r>
    </w:p>
    <w:p>
      <w:pPr>
        <w:spacing w:after="0" w:line="21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Operationally, we are organized along geographic lines with management teams having responsibility for the business and financial results in each region. We compete in more than 200 countries and territories worldwide with established businesses in all regions contributing to our sales and profitability. Approximately two-thirds of our Net sales are generated from markets outside the United States, with approximately 45% of our Net sales coming from emerging markets (which consist of Latin America, Asia (excluding Japan), Africa, the Middle East and Eastern and Central Europe). This geographic diversity and balance help to reduce our exposure to business and other risks in any one country or part of the world.</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Oral, Personal and Home Care product segment is managed geographically in four reportable operating segments: North America, Latin America, Europe, Middle East &amp; Africa (“EMEA”) and Asia Pacific, all of which sell primarily to a variety of retailers, wholesalers, distributors, dentists and, in some geographies, skin health professionals. Through Hill’s Pet Nutrition, we also compete on a worldwide basis in the pet nutrition market, selling products principally through authorized pet supply retailers, veterinarians and eCommerce retailers. We also sell certain of our products direct-to-consumer. We are engaged in manufacturing and sourcing of products and materials on a global scale and have major manufacturing facilities, warehousing facilities and distribution centers in every region around the world.</w:t>
      </w:r>
    </w:p>
    <w:p>
      <w:pPr>
        <w:spacing w:after="0" w:line="20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As part of the Strategic Growth and Productivity Program, to further optimize and leverage the operating scale and drive growth within the Europe and Africa/Eurasia regions, we realigned our reportable operating segments effective for the quarter ended March 31, 2026. As a result, we combined the results of our Europe and Africa/Eurasia (excluding Russia and Belarus) reportable operating segments and our skin health business (previously within the North America reportable operating segment) into a new EMEA reportable operating segment. In conjunction with this realignment, Russia and Belarus, which were previously reported within the Africa/Eurasia reportable operating segment, are reported within the Asia Pacific reportable operating segment. This reportable operating segment realignment did not impact our historical consolidated results of operations, financial position or cash flows. We have recast our historical geographic segment information to conform to the new reporting structure.</w:t>
      </w:r>
    </w:p>
    <w:p>
      <w:pPr>
        <w:spacing w:after="0" w:line="2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an ongoing basis, management focuses on a variety of key indicators to monitor business health and performance. These indicators include net sales (including volume, pricing and foreign exchange components), organic sales growth (net sales growth excluding the impact of foreign exchange, acquisitions and divestments), a non-GAAP financial measure, and gross profit margin, selling, general and administrative expenses, operating profit, net income and earnings per share, in each case, on a GAAP and a non-GAAP basis, as well as measures used to optimize the management of working capital, capital expenditures, cash flow and return on capital. In addition, we review market share, household penetration and other data to assess how our brands are performing within their categories on a global and regional basis. The monitoring of these indicators and our Code of Conduct and corporate governance practices help to maintain business health and strong internal controls. For additional information regarding non-GAAP financial measures and the Company’s use of market share data and the limitations of such data, see “Non-GAAP Financial Measures” and “Market Share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Trade Relations</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Major developments in trade relations, including the imposition of new or increased tariffs by the United States and/or other countries, have contributed to and are expected to continue to contribute to inflationary pressures, geopolitical tensions and macroeconomic and market volatility. These developments have also impacted and may continue to impact consumer sentiment, consumption, discretionary spending and/or purchasing patterns. In addition, they have impacted and may continue to impact the cost and/or availability of raw and packaging materials and the price of our products. While we have made and will continue to make efforts to mitigate the impact of these and any additional tariffs imposed by the United States and/or other countries or shifts in trade agreements, including the United States-Mexico-Canada Agreement, they or our mitigating actions could have a material effect on our business, results of operations, cash flows and financial condition. For additional information, see “Outlook”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43"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The war in Ukraine, and the related geopolitical tensions, have had and continue to have a significant impact on our operations in Ukraine and Russia, though it has not been material to our Consolidated Financial Statements. We have experienced, and expect to continue to experience, risks related to the impact of the war in Ukraine, including increases in the costs and, in certain cases, limitations on the availability of certain raw and packaging materials and commodities (including oil and natural gas), supply chain and logistics challenges, import restrictions, foreign currency volatility and reputational concerns. We also have faced and continue to face challenges to our ability to repatriate cash from Russia and identify banking partners to support our Russian operations and we may face challenges to our ability to protect our assets in Russia. We also continue to monitor the impact of sanctions, export controls and import restrictions.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 in the Middle East</w:t>
      </w:r>
    </w:p>
    <w:p>
      <w:pPr>
        <w:spacing w:after="0" w:line="25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conflict in the Middle East, including between the United States and Iran, has had and may continue to have macroeconomic impacts, such as heightened inflationary pressures and increased capital markets and foreign exchange volatility. It did not have a material impact on our Consolidated Financial Statements for the quarter ended September 30, 2026. The conflict has negatively impacted and may in the future negatively impact, among other things, supply chain and logistics (including increased shipping costs and freight delays), the availability and price of raw and packaging materials and commodities (particularly oil, resin and agricultural products), consumer sentiment and consumption and category growth rates. The full impact of the conflict on our business may not be fully realized for some time due to, among other things, our mitigation efforts, contingency plans and procurement processes.</w:t>
      </w:r>
    </w:p>
    <w:p>
      <w:pPr>
        <w:spacing w:after="0" w:line="2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more information about factors that could impact our business, including with respect to global trade relations, the war in Ukraine and the conflict in the Middle East, refer to Part I, Item 1A “Risk Factors” of our Annual Report on Form 10-K for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24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2030 strategy, which builds on the success of our 2025 strategy that concluded last year, is intended to deliver consistent, compounded earnings per share growth over the long term and to accelerate Net sales and organic sales growth through several key initiatives. These initiatives include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artificial intelligence (“AI”); and evolving our high-impact, inclusive culture.</w:t>
      </w:r>
    </w:p>
    <w:p>
      <w:pPr>
        <w:spacing w:after="0" w:line="22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Additionally, on July 31, 2025, our Board of Directors (the “Board”) approved a three-year productivity program to drive future growth and support our 2030 strategy (the “Strategic Growth and Productivity Program”). The program includes initiatives to better align our organizational structure to support our strategic initiatives, optimize our global supply chain to drive agility and efficiencies and simplify and streamline our organizational structure to reduce overhead costs. On April 30, 2026, our Board approved an expansion of the program to continue to align our operations to drive future growth and support our 2030 strategy. The Strategic Growth and Productivity Program is estimated to result in cumulative pre-tax charges, once all initiatives are approved and implemented, totaling between $350 and $550. It is estimated that substantially all charges will be incurred by December 31, 2028. Annualized pre-tax savings are projected to be in the range of $200 to $300, once all projects are approved and implemented. For more information regarding the Strategic Growth and Productivity Program, see “Restructuring and Related Implementation Charges” below.</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 investments needed to drive growth are also supported through continuous, company-wide initiatives to lower costs and increase effective asset utilization. Through these initiatives, which are referred to as our funding-the-growth initiatives, we seek to become even more effective and efficient throughout our businesses. These initiatives are designed to reduce costs associated with direct materials, indirect expenses, distribution and logistics and advertising and promotional materials, among other things, and encompass a wide range of projects, examples of which include raw material substitution, reduction of packaging materials, consolidating suppliers to leverage volumes and increasing manufacturing efficiency through SKU reductions and formulation simplification.</w:t>
      </w: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believe strong free cash flow performance is key to enabling us to invest for future growth and superior total shareholder return. We achieve this through increasing net income, optimizing working capital and through high return capital expenditures focused on growth and profitability.</w:t>
      </w:r>
    </w:p>
    <w:p>
      <w:pPr>
        <w:spacing w:after="0" w:line="203"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The efficient use of our balance sheet, including prudent management of our capital structure, is also critical. We continue to prioritize our investments in high growth and high margin segments within our categories and to make careful decisions about our brand portfolio. Finally, we drive additional value to shareholders by returning cash through dividends and ongoing share repurchases.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 Impacting Comparability</w:t>
      </w:r>
    </w:p>
    <w:p>
      <w:pPr>
        <w:spacing w:after="0" w:line="2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the three and nine months ended September 30, 2026, we incurred pre-tax charges of $30 ($26 after-tax) and pre-tax charges of $333 ($268 after-tax), respectively, resulting from the Strategic Growth and Productivity Program. Refer to “Restructuring and Related Implementation Charges” below and Note 5, Restructuring and Related Implementation Charges to the Condensed Consolidated Financial Statements for additional information.</w:t>
      </w:r>
    </w:p>
    <w:p>
      <w:pPr>
        <w:spacing w:after="0" w:line="2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April 30, 2025, we acquired Care TopCo Pty Ltd, the owner of the Prime100 pet food business, for cash consideration of AU $471 ($301). This acquisition provided our Hill’s Pet Nutrition segment with an entry into the fast-growing fresh pet food category in Australia. Refer to Note 4, Acquisitions to the Condensed Consolidated Financial Statements for additional information.</w:t>
      </w:r>
    </w:p>
    <w:p>
      <w:pPr>
        <w:spacing w:after="0" w:line="21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During the quarter ended March 31, 2025, we recorded a charge of $65 following a decision of the United States Court of Appeals for the Second Circuit affirming the ruling of the United States District Court for the Southern District of New York (the “District Court”) on certain calculation issues related to the District Court’s earlier grant of summary judgment to the plaintiffs in a lawsuit under the Employee Retirement Income Security Act, seeking the recalculation of benefits and other relief associated with a 2005 residual annuity amendment to the Colgate-Palmolive Company Employees’ Retirement Income Plan (the “Retirement Plan”). The decision resulted in an increase in the obligations of the Retirement Plan. Refer to Note 10, Contingencies to the Condensed Consolidated Financial Statements for additional information.</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28" w:name="page29"/>
    <w:bookmarkEnd w:id="28"/>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Looking forward, we expect global macroeconomic, geopolitical and market conditions to remain challenging, including as a result of tensions, wars and military conflicts and developments in trade relations (such as the imposition of new or increased tariffs and the ongoing implementation and renegotiation of the United States-Mexico-Canada Agreement). We expect these conditions to impact, or to continue to impact, among other things, supply chain and logistics, the availability and price of raw and packaging materials and commodities (particularly oil, resin and agricultural products), consumer sentiment and purchasing patterns, consumption and category growth rates. We also expect these conditions to continue to contribute to inflationary pressures and macroeconomic and market volatility. We continue to follow these situations closely, to take actions in an effort to mitigate their negative impacts and to evaluate their impact on our business, results of operations, cash flows and financial condition.</w:t>
      </w:r>
    </w:p>
    <w:p>
      <w:pPr>
        <w:spacing w:after="0" w:line="21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this uncertain and challenging macroeconomic and geopolitical environment, we anticipate consumers may forgo purchasing certain of our products or switch to “private label” or to our lower-priced product offerings. Although we continue to devote significant resources to support our brands and market our products at multiple price points, demand for and sales volumes of our categories and/or our products may decline or shift from higher margin to lower margin product offerings. We expect the softness across our categories to continue through the balance of 2026.</w:t>
      </w:r>
    </w:p>
    <w:p>
      <w:pPr>
        <w:spacing w:after="0" w:line="21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Given that approximately two-thirds of our Net sales originate in markets outside the United States, we have experienced and will likely continue to experience volatile foreign currency fluctuations. This is particularly acute in hyper-inflationary economies, including Argentina, Nigeria and Türkiye.</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continue to experience higher raw and packaging material costs, including the impact of transactional foreign exchange. We have taken, and will continue to take, measures to mitigate the effect of these conditions, such as our funding-the-growth and revenue growth management initiatives and the Strategic Growth and Productivity Program. However, in the current environment it may become increasingly difficult to implement certain of these mitigation strategies. Additionally, inflation has impacted the broader economy with consumers in many geographies around the world facing widespread rising prices as well as high interest rates. Should these conditions persist, they could adversely affect our future results.</w:t>
      </w:r>
    </w:p>
    <w:p>
      <w:pPr>
        <w:spacing w:after="0" w:line="2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face vigorous competition worldwide, including from strong local competitors (including private label competitors) and from other companies, some of which have greater resources than we do. In addition, the substantial growth of eCommerce and the emergence and adoption of social commerce and AI have encouraged the entry of new competitors, some of which sell products direct-to-consumer. We face competition in several aspects of our business, including pricing, promotional activities, new product introductions and expansion into new geographies and channels.</w:t>
      </w:r>
    </w:p>
    <w:p>
      <w:pPr>
        <w:spacing w:after="0" w:line="2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products are sold in a highly competitive omni-channel marketplace that is increasingly defined by the integration of traditional and digital retail operations and evolving consumer purchasing behavior and preferences, as consumers continue to shop online and increasingly through social commerce and with the assistance of AI. The increased presence of alternative retail channels, such as subscription services and direct-to-customer businesses, has also intensified competition for consumer attention. While we continue to sell our products to a variety of customers, including large-format retailers, discounters and eCommerce retailers, our growth is increasingly dependent on our ability to generate consumer demand across numerous touchpoints in the omni-channel ecosystem whether through traditional retail, eCommerce, social media or digital. We are also increasingly dependent upon certain key retailers, some of which exercise greater bargaining strength than we do, including the exclusive access to valuable first-party consumer data and analytics.</w:t>
      </w:r>
    </w:p>
    <w:p>
      <w:pPr>
        <w:spacing w:after="0" w:line="22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We continue to closely monitor the impact of geopolitical events and tensions, wars and military conflicts, including in Ukraine and the Middle East, developments in trade relations and the challenging market conditions discussed above on our business and the related uncertainties and risks. While we have taken, and will continue to take, measures to mitigate the effects of these events and conditions, we cannot estimate with certainty the full extent of their impact on our business, results of operations, cash flows and/or financial condition. For more information about factors that could impact our business, see “Risk Factors” in Part I, Item 1A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Looking forward, we believe our 2030 business strategy and the Strategic Growth and Productivity Program will help ensure that we have the right capabilities and support to achieve our goals in the near term and to deliver consistent, compounded earnings per share growth over the long term. We believe our 2030 strategic priorities of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AI; and evolving our high-impact, inclusive culture are the keys to accelerating growth going forward. Our commitment to these priorities, the strength of our brands, our resilient global supply chain, the breadth of our global footprint and a commitment to profitability and driving efficiency in cash generation should position us well to manage through the challenges we face and increase shareholder value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Worldwide Net sales were $5,369 in the third quarter of 2026, up 4.6% from the third quarter of 2025, due to volume growth of 1.7%, net selling price increases of 2.0% and positive foreign exchange of 1.0%. Organic sales (Net sales excluding the impact of foreign exchange, acquisitions and divestments), a non-GAAP financial measure, increased 3.6% in the third quarter of 2026, including a negative impact from lower private label pet food sales (20 bps). A reconciliation of net sales growth to organic sales growth is provided under “Non-GAAP Financial Measures” below.</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Net sales in the Oral, Personal and Home Care product segment were $4,164 in the third quarter of 2026, up 4.4% from the third quarter of 2025, due to volume growth of 1.6%, net selling price increases of 1.4% and positive foreign exchange of 1.3%. Organic sales in the Oral, Personal and Home Care product segment increased 3.1% in the third quarter of 2026.</w:t>
      </w:r>
    </w:p>
    <w:p>
      <w:pPr>
        <w:spacing w:after="0" w:line="20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increase in organic sales in the third quarter of 2026 versus the third quarter of 2025 was primarily due to an increase in Oral Care and Home Care organic sales. The increase in Oral Care was primarily due to organic sales growth in the toothpaste and manual toothbrush categories. The increase in Home Care was primarily due to organic sales growth in the surface cleaner category.</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share of the global toothpaste market was 41.4% on a year-to-date basis, up 0.3 share points from the year ago period, and its share of the global manual toothbrush market was 33.1% on a year-to-date basis, up 0.8 share points from the year ago period. Year-to-date market shares in toothpaste were up in Latin America and EMEA and down in North America and Asia Pacific versus the comparable 2025 period. In the manual toothbrush category, year-to-date market shares were up in North America, Latin America, EMEA and Asia Pacific versus the comparable 2025 period. For additional information regarding market shares, see “Market Share Information” below.</w:t>
      </w:r>
    </w:p>
    <w:p>
      <w:pPr>
        <w:spacing w:after="0" w:line="2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Net sales in the Hill’s Pet Nutrition segment were $1,205 in the third quarter of 2026, up 5.6% from the third quarter of 2025, due to volume growth of 1.8% and net selling price increases of 3.9%, partially offset by negative foreign exchange of 0.1%. Organic sales in the Hill’s Pet Nutrition segment increased 5.7% in the third quarter of 2026, including a negative impact from lower private label pet food sales (70 bps).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Profit/Margin</w:t>
      </w:r>
    </w:p>
    <w:p>
      <w:pPr>
        <w:spacing w:after="0" w:line="2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Worldwide Gross profit increased to $3,233 in the third quarter of 2026 compared to $3,049 in the third quarter of 2025. Worldwide Gross profit in the third quarter of 2026 included charges resulting from the Strategic Growth and Productivity Program. Excluding these charges, Worldwide Gross profit increased to $3,238 in the third quarter of 2026 compared to $3,049 in the third quarter of 2025, reflecting an increase of $141 from higher Net sales and $47 from higher Gross profit margin.</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Worldwide Gross profit margin increased to 60.2% in the third quarter of 2026 from 59.4% in the third quarter of 2025. Excluding the charges resulting from the Strategic Growth and Productivity Program in the third quarter of 2026, Gross profit margin increased to 60.3% in the third quarter of 2026 from 59.4% in the third quarter of 2025. This increase in Gross profit margin was due to cost savings from the Company’s funding-the-growth initiatives (290 bps), higher pricing (80 bps) and favorable mix (20 bps), partially offset by significantly higher raw and packaging material costs (300 bps).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20" w:type="dxa"/>
            <w:vAlign w:val="bottom"/>
            <w:tcBorders>
              <w:bottom w:val="single" w:sz="8" w:color="auto"/>
            </w:tcBorders>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r>
      <w:tr>
        <w:trPr>
          <w:trHeight w:val="23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GAAP</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4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Basis Point</w:t>
            </w:r>
          </w:p>
        </w:tc>
      </w:tr>
      <w:tr>
        <w:trPr>
          <w:trHeight w:val="243"/>
        </w:trPr>
        <w:tc>
          <w:tcPr>
            <w:tcW w:w="67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23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60.2 %</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59.4 %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 non-GAAP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60.3 %</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59.4 %</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7% to $2,111 in the third quarter of 2026 compared to $1,971 in the third quarter of 2025. Selling, general and administrative expenses in the third quarter of 2026 included charges resulting from the Strategic Growth and Productivity Program. Excluding these charges, Selling, general and administrative expenses increased 7% to $2,102 in the third quarter of 2026 compared to $1,971 in the third quarter of 2025, reflecting increased advertising investment of $101 and higher overhead expenses of $30.</w:t>
      </w:r>
    </w:p>
    <w:p>
      <w:pPr>
        <w:spacing w:after="0" w:line="2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increased by 90 bps to 39.3% in the third quarter of 2026 as compared to 38.4% in the third quarter of 2025. Excluding the charges resulting from the Strategic Growth and Productivity Program in the third quarter of 2026, Selling, general and administrative expenses as a percentage of Net sales increased by 70 bps to 39.1% in the third quarter of 2026 compared to 38.4% in the third quarter of 2025. This increase was due to increased advertising investment (130 bps), partially offset by lower overhead expenses (60 bps), both as a percentage of Net sales. Lower overhead expenses were driven by overhead efficiencies (90 bps), partially offset by higher logistics costs (30 bps). In the third quarter of 2026, advertising investment increased as a percentage of Net sales to 14.4% from 13.1% in the third quarter of 2025, or 15% in absolute terms, to $775 as compared to $674 in the third quarter of 2025.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20" w:type="dxa"/>
            <w:vAlign w:val="bottom"/>
            <w:tcBorders>
              <w:bottom w:val="single" w:sz="8" w:color="auto"/>
            </w:tcBorders>
          </w:tcPr>
          <w:p>
            <w:pPr>
              <w:spacing w:after="0"/>
              <w:rPr>
                <w:sz w:val="20"/>
                <w:szCs w:val="20"/>
                <w:color w:val="auto"/>
              </w:rPr>
            </w:pPr>
          </w:p>
        </w:tc>
      </w:tr>
      <w:tr>
        <w:trPr>
          <w:trHeight w:val="237"/>
        </w:trPr>
        <w:tc>
          <w:tcPr>
            <w:tcW w:w="7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r>
      <w:tr>
        <w:trPr>
          <w:trHeight w:val="23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GAAP</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non-GAAP</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Basis Point</w:t>
            </w:r>
          </w:p>
        </w:tc>
      </w:tr>
      <w:tr>
        <w:trPr>
          <w:trHeight w:val="243"/>
        </w:trPr>
        <w:tc>
          <w:tcPr>
            <w:tcW w:w="67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23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GAAP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39.3 %</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38.4 %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1"/>
                <w:szCs w:val="21"/>
                <w:color w:val="auto"/>
              </w:rPr>
            </w:pPr>
          </w:p>
        </w:tc>
      </w:tr>
      <w:tr>
        <w:trPr>
          <w:trHeight w:val="261"/>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non-GAAP</w:t>
            </w:r>
          </w:p>
        </w:tc>
        <w:tc>
          <w:tcPr>
            <w:tcW w:w="9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39.1 %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38.4 %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6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Other (income) expense, net was $34 and $19 in the third quarter of 2026 and 2025, respectively. Other (income) expense, net in the third quarter of 2026 included charges resulting from the Strategic Growth and Productivity Program. Excluding these charges, Other (income) expense, net was $19 in the third quarter of 2026 and 2025.</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7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r>
      <w:tr>
        <w:trPr>
          <w:trHeight w:val="236"/>
        </w:trPr>
        <w:tc>
          <w:tcPr>
            <w:tcW w:w="70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r>
      <w:tr>
        <w:trPr>
          <w:trHeight w:val="23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 GAAP</w:t>
            </w:r>
          </w:p>
        </w:tc>
        <w:tc>
          <w:tcPr>
            <w:tcW w:w="148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 non-GAAP</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Profit</w:t>
      </w:r>
    </w:p>
    <w:p>
      <w:pPr>
        <w:spacing w:after="0" w:line="23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Operating profit increased 3% to $1,088 in the third quarter of 2026 from $1,059 in the third quarter of 2025. Operating profit in the third quarter of 2026 included charges resulting from the Strategic Growth and Productivity Program. Excluding these charges, Operating profit increased 5% to $1,117 in the third quarter of 2026 from $1,059 in the third quarter of 2025 due to an increase in Gross profit, partially offset by an increase in Selling, general and administrative expenses.</w:t>
      </w:r>
    </w:p>
    <w:p>
      <w:pPr>
        <w:spacing w:after="0" w:line="2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profit margin was 20.3% in the third quarter of 2026, a decrease of 30 bps compared to 20.6% in the third quarter of 2025. Excluding the charges resulting from the Strategic Growth and Productivity Program in the third quarter of 2026, Operating profit margin was 20.8% in the third quarter of 2026, an increase of 20 bps compared to 20.6% in the third quarter of 2025. This increase in Operating profit margin was due to an increase in Gross profit (90 bps), partially offset by an increase in Selling, general and administrative expenses (70 bps), both as a percentage of Net sales.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404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Borders>
              <w:bottom w:val="single" w:sz="8" w:color="auto"/>
            </w:tcBorders>
          </w:tcPr>
          <w:p>
            <w:pPr>
              <w:spacing w:after="0"/>
              <w:rPr>
                <w:sz w:val="20"/>
                <w:szCs w:val="20"/>
                <w:color w:val="auto"/>
              </w:rPr>
            </w:pPr>
          </w:p>
        </w:tc>
      </w:tr>
      <w:tr>
        <w:trPr>
          <w:trHeight w:val="237"/>
        </w:trPr>
        <w:tc>
          <w:tcPr>
            <w:tcW w:w="68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Change</w:t>
            </w:r>
          </w:p>
        </w:tc>
        <w:tc>
          <w:tcPr>
            <w:tcW w:w="340" w:type="dxa"/>
            <w:vAlign w:val="bottom"/>
            <w:tcBorders>
              <w:bottom w:val="single" w:sz="8" w:color="auto"/>
            </w:tcBorders>
          </w:tcPr>
          <w:p>
            <w:pPr>
              <w:spacing w:after="0"/>
              <w:rPr>
                <w:sz w:val="20"/>
                <w:szCs w:val="20"/>
                <w:color w:val="auto"/>
              </w:rPr>
            </w:pPr>
          </w:p>
        </w:tc>
      </w:tr>
      <w:tr>
        <w:trPr>
          <w:trHeight w:val="23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GAAP</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1,059</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62"/>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non-GAAP</w:t>
            </w: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19685</wp:posOffset>
            </wp:positionV>
            <wp:extent cx="2854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Basis Point</w:t>
            </w:r>
          </w:p>
        </w:tc>
      </w:tr>
      <w:tr>
        <w:trPr>
          <w:trHeight w:val="234"/>
        </w:trPr>
        <w:tc>
          <w:tcPr>
            <w:tcW w:w="67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37"/>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GAAP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20.6 %</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57"/>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non-GAAP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20.6 %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Non-Service Related Postretirement Costs</w:t>
      </w:r>
    </w:p>
    <w:p>
      <w:pPr>
        <w:spacing w:after="0" w:line="23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Non-service related postretirement costs were $24 and $21 in the third quarter of 2026 and 2025, respectively. Non-service related postretirement costs in the third quarter of 2026 included charges resulting from the Strategic Growth and Productivity Program. Excluding these charges, Non-service related postretirement costs were $23 in the third quarter of 2026 and $21 in the third quarter of 2025.</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Borders>
              <w:bottom w:val="single" w:sz="8" w:color="auto"/>
            </w:tcBorders>
          </w:tcPr>
          <w:p>
            <w:pPr>
              <w:spacing w:after="0"/>
              <w:rPr>
                <w:sz w:val="20"/>
                <w:szCs w:val="20"/>
                <w:color w:val="auto"/>
              </w:rPr>
            </w:pPr>
          </w:p>
        </w:tc>
      </w:tr>
      <w:tr>
        <w:trPr>
          <w:trHeight w:val="236"/>
        </w:trPr>
        <w:tc>
          <w:tcPr>
            <w:tcW w:w="74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r>
      <w:tr>
        <w:trPr>
          <w:trHeight w:val="23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GAAP</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4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non-GAAP</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Colgate-Palmolive Company and Earnings Per Share</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income attributable to Colgate-Palmolive Company in the third quarter of 2026 increased to $751 from $735 in the third quarter of 2025 and Earnings per common share on a diluted basis increased to $0.94 per share in the third quarter of 2026 from $0.91 in the third quarter of 2025. Net income attributable to Colgate-Palmolive Company in the third quarter of 2026 included charges resulting from the Strategic Growth and Productivity Program.</w:t>
      </w:r>
    </w:p>
    <w:p>
      <w:pPr>
        <w:spacing w:after="0" w:line="20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Excluding the charges described above, Net income attributable to Colgate-Palmolive Company in the third quarter of 2026 increased 6% to $777 from $735 in the third quarter of 2025 and Earnings per common share on a diluted basis increased 7% to $0.97 in the third quarter of 2026 from $0.91 in the third quarter of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Income</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Provision For</w:t>
            </w:r>
          </w:p>
        </w:tc>
        <w:tc>
          <w:tcPr>
            <w:tcW w:w="140" w:type="dxa"/>
            <w:vAlign w:val="bottom"/>
          </w:tcPr>
          <w:p>
            <w:pPr>
              <w:spacing w:after="0"/>
              <w:rPr>
                <w:sz w:val="15"/>
                <w:szCs w:val="15"/>
                <w:color w:val="auto"/>
              </w:rPr>
            </w:pPr>
          </w:p>
        </w:tc>
        <w:tc>
          <w:tcPr>
            <w:tcW w:w="14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9"/>
              </w:rPr>
              <w:t>Net Income</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9"/>
              </w:rPr>
              <w:t>Less: Income</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5"/>
                <w:szCs w:val="15"/>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Diluted</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7"/>
              </w:rPr>
              <w:t>Before</w:t>
            </w:r>
          </w:p>
        </w:tc>
        <w:tc>
          <w:tcPr>
            <w:tcW w:w="11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Including</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Attributable to</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Pr>
          <w:p>
            <w:pPr>
              <w:spacing w:after="0"/>
              <w:rPr>
                <w:sz w:val="16"/>
                <w:szCs w:val="16"/>
                <w:color w:val="auto"/>
              </w:rPr>
            </w:pPr>
          </w:p>
        </w:tc>
        <w:tc>
          <w:tcPr>
            <w:tcW w:w="9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Colgate-Palmolive</w:t>
            </w:r>
          </w:p>
        </w:tc>
        <w:tc>
          <w:tcPr>
            <w:tcW w:w="11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Earnings Per</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Taxes</w:t>
            </w:r>
          </w:p>
        </w:tc>
        <w:tc>
          <w:tcPr>
            <w:tcW w:w="180" w:type="dxa"/>
            <w:vAlign w:val="bottom"/>
          </w:tcPr>
          <w:p>
            <w:pPr>
              <w:spacing w:after="0"/>
              <w:rPr>
                <w:sz w:val="19"/>
                <w:szCs w:val="19"/>
                <w:color w:val="auto"/>
              </w:rPr>
            </w:pPr>
          </w:p>
        </w:tc>
        <w:tc>
          <w:tcPr>
            <w:tcW w:w="9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Taxes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Company</w:t>
            </w:r>
          </w:p>
        </w:tc>
        <w:tc>
          <w:tcPr>
            <w:tcW w:w="200" w:type="dxa"/>
            <w:vAlign w:val="bottom"/>
          </w:tcPr>
          <w:p>
            <w:pPr>
              <w:spacing w:after="0"/>
              <w:rPr>
                <w:sz w:val="19"/>
                <w:szCs w:val="19"/>
                <w:color w:val="auto"/>
              </w:rPr>
            </w:pPr>
          </w:p>
        </w:tc>
        <w:tc>
          <w:tcPr>
            <w:tcW w:w="900" w:type="dxa"/>
            <w:vAlign w:val="bottom"/>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37"/>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Strategic Growth and Productivity</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62"/>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Income</w:t>
            </w: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9"/>
              </w:rPr>
              <w:t>Net Income</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rPr>
              <w:t>Less: Income</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5"/>
                <w:szCs w:val="15"/>
                <w:color w:val="auto"/>
              </w:rPr>
            </w:pPr>
          </w:p>
        </w:tc>
        <w:tc>
          <w:tcPr>
            <w:tcW w:w="9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Diluted</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7"/>
              </w:rPr>
              <w:t>Before</w:t>
            </w: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Including</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Attributable to</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11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color w:val="auto"/>
              </w:rPr>
              <w:t>Provision For</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Colgate-Palmolive</w:t>
            </w:r>
          </w:p>
        </w:tc>
        <w:tc>
          <w:tcPr>
            <w:tcW w:w="11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Earnings Per</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Taxes</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Company</w:t>
            </w:r>
          </w:p>
        </w:tc>
        <w:tc>
          <w:tcPr>
            <w:tcW w:w="200" w:type="dxa"/>
            <w:vAlign w:val="bottom"/>
          </w:tcPr>
          <w:p>
            <w:pPr>
              <w:spacing w:after="0"/>
              <w:rPr>
                <w:sz w:val="19"/>
                <w:szCs w:val="19"/>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Share</w:t>
            </w:r>
          </w:p>
        </w:tc>
        <w:tc>
          <w:tcPr>
            <w:tcW w:w="0" w:type="dxa"/>
            <w:vAlign w:val="bottom"/>
          </w:tcPr>
          <w:p>
            <w:pPr>
              <w:spacing w:after="0"/>
              <w:rPr>
                <w:sz w:val="1"/>
                <w:szCs w:val="1"/>
                <w:color w:val="auto"/>
              </w:rPr>
            </w:pPr>
          </w:p>
        </w:tc>
      </w:tr>
      <w:tr>
        <w:trPr>
          <w:trHeight w:val="236"/>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16"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impact of non-GAAP adjustments on diluted earnings per share may not necessarily equal the difference between “GAAP” and “non-GAAP” as a result of rounding.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Net Sales and Operating Profit by Segment</w:t>
            </w: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39"/>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Oral, Personal and Home Care</w:t>
            </w:r>
          </w:p>
        </w:tc>
        <w:tc>
          <w:tcPr>
            <w:tcW w:w="46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9"/>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North America</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0"/>
        </w:trPr>
        <w:tc>
          <w:tcPr>
            <w:tcW w:w="10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37"/>
        </w:trPr>
        <w:tc>
          <w:tcPr>
            <w:tcW w:w="10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7"/>
        </w:trPr>
        <w:tc>
          <w:tcPr>
            <w:tcW w:w="6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6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6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 bps</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North America decreased 1.7% in the third quarter of 2026 to $905, driven by volume declines of 3.7% and negative foreign exchange of</w:t>
      </w:r>
    </w:p>
    <w:p>
      <w:pPr>
        <w:spacing w:after="0" w:line="2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0.2%, partially offset by net selling price increases of 2.2%. Organic sales in North America decreased 1.6% in the third quarter of 2026. The organic sales decline was driven by the United States.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decrease in organic sales in North America in the third quarter of 2026 versus the third quarter of 2025 was primarily due to decreases in Personal Care and Oral Care organic sales. The decrease in Personal Care was primarily due to organic sales declines in the body wash and underarm protection categories. The decrease in Oral Care was primarily due to an organic sales decline in the toothpaste category.</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profit in North America decreased 11% in the third quarter of 2026 to $177, or 210 bps to 19.5% as a percentage of Net sales. This decrease in Operating profit as a percentage of Net sales was primarily due to a decrease in Gross profit (70 bps) and an increase in Selling, general and administrative expenses (160 bps), both as a percentage of Net sales. This decrease in Gross profit was due to significantly higher raw and packaging material costs (520 bps) and unfavorable mix (10 bps), partially offset by cost savings from the Company’s funding-the-growth initiatives (350 bps) and higher pricing. This increase in Selling, general and administrative expenses was due to increased advertising investment (100 bps) and higher overhead expenses (60 bps).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Latin America</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91"/>
        </w:trPr>
        <w:tc>
          <w:tcPr>
            <w:tcW w:w="104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60" w:type="dxa"/>
            <w:vAlign w:val="bottom"/>
            <w:tcBorders>
              <w:bottom w:val="single" w:sz="8" w:color="auto"/>
            </w:tcBorders>
          </w:tcPr>
          <w:p>
            <w:pPr>
              <w:spacing w:after="0"/>
              <w:rPr>
                <w:sz w:val="24"/>
                <w:szCs w:val="24"/>
                <w:color w:val="auto"/>
              </w:rPr>
            </w:pPr>
          </w:p>
        </w:tc>
      </w:tr>
      <w:tr>
        <w:trPr>
          <w:trHeight w:val="237"/>
        </w:trPr>
        <w:tc>
          <w:tcPr>
            <w:tcW w:w="1040" w:type="dxa"/>
            <w:vAlign w:val="bottom"/>
            <w:tcBorders>
              <w:bottom w:val="single" w:sz="8" w:color="CCEEFF"/>
            </w:tcBorders>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60" w:type="dxa"/>
            <w:vAlign w:val="bottom"/>
            <w:tcBorders>
              <w:bottom w:val="single" w:sz="8" w:color="auto"/>
            </w:tcBorders>
          </w:tcPr>
          <w:p>
            <w:pPr>
              <w:spacing w:after="0"/>
              <w:rPr>
                <w:sz w:val="20"/>
                <w:szCs w:val="20"/>
                <w:color w:val="auto"/>
              </w:rPr>
            </w:pPr>
          </w:p>
        </w:tc>
      </w:tr>
      <w:tr>
        <w:trPr>
          <w:trHeight w:val="23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r>
    </w:tbl>
    <w:p>
      <w:pPr>
        <w:spacing w:after="0" w:line="2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in Latin America increased 12.5% in the third quarter of 2026 to $1,326, driven by volume growth of 3.9%, net selling price increases of 2.1% and positive foreign exchange of 6.5%. Organic sales in Latin America increased 6.0% in the third quarter of 2026. Organic sales growth was led by Brazil, Argentina and Colombia.</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increase in organic sales in Latin America in the third quarter of 2026 versus the third quarter of 2025 was primarily due to increases in Oral Care and Home Care organic sales. The increase in Oral Care was primarily due to organic sales growth in the toothpaste and manual toothbrush categories. The increase in Home Care was primarily due to organic sales growth in the surface cleaner category.</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Operating profit in Latin America increased 17% in the third quarter of 2026 to $392, or 100 bps to 29.6% as a percentage of Net sales. This increase in Operating profit as a percentage of Net sales was due to an increase in Gross profit (290 bps), partially offset by an increase in Selling, general and administrative expenses (160 bps) and an increase in Other (income) expense, net (40 bps), all as a percentage of Net sales. This increase in Gross profit was due to cost savings from the Company’s funding-the-growth initiatives (250 bps), higher pricing and favorable mix (30 bps), partially offset by higher raw and packaging material costs (80 bps). This increase in Selling, general and administrative expenses was primarily due to increased advertising investment (130 bps).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Europe, Middle East &amp; Africa</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0"/>
        </w:trPr>
        <w:tc>
          <w:tcPr>
            <w:tcW w:w="218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60" w:type="dxa"/>
            <w:vAlign w:val="bottom"/>
            <w:tcBorders>
              <w:bottom w:val="single" w:sz="8" w:color="auto"/>
            </w:tcBorders>
          </w:tcPr>
          <w:p>
            <w:pPr>
              <w:spacing w:after="0"/>
              <w:rPr>
                <w:sz w:val="24"/>
                <w:szCs w:val="24"/>
                <w:color w:val="auto"/>
              </w:rPr>
            </w:pPr>
          </w:p>
        </w:tc>
      </w:tr>
      <w:tr>
        <w:trPr>
          <w:trHeight w:val="237"/>
        </w:trPr>
        <w:tc>
          <w:tcPr>
            <w:tcW w:w="218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60" w:type="dxa"/>
            <w:vAlign w:val="bottom"/>
            <w:tcBorders>
              <w:bottom w:val="single" w:sz="8" w:color="auto"/>
            </w:tcBorders>
          </w:tcPr>
          <w:p>
            <w:pPr>
              <w:spacing w:after="0"/>
              <w:rPr>
                <w:sz w:val="20"/>
                <w:szCs w:val="20"/>
                <w:color w:val="auto"/>
              </w:rPr>
            </w:pPr>
          </w:p>
        </w:tc>
      </w:tr>
      <w:tr>
        <w:trPr>
          <w:trHeight w:val="23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6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sales in EMEA increased 1.4% in the third quarter of 2026 to $1,130, driven by volume growth of 3.5%, partially offset by net selling price decreases of 0.9% and negative foreign exchange of 1.2%. Organic sales in EMEA increased 2.7% in the third quarter of 2026. Organic sales growth was led by Türkiye, the United Kingdom and Spain, partially offset by organic sales declines in the Middle East region.</w:t>
      </w:r>
    </w:p>
    <w:p>
      <w:pPr>
        <w:spacing w:after="0" w:line="20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increase in organic sales in EMEA in the third quarter of 2026 versus the third quarter of 2025 was due to increases in Oral Care and Personal Care organic sales, partially offset by a decrease in Home Care organic sales. The increase in Oral Care was primarily due to organic sales growth in the toothpaste and manual toothbrush categories. The increase in Personal Care was primarily due to organic sales growth in the body wash and skin health categories. The decrease in Home Care was primarily due to an organic sales decline in the fabric softener category.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profit in EMEA increased 8% in the third quarter of 2026 to $262, or 140 bps to 23.2% as a percentage of Net sales. This increase in Operating profit as a percentage of Net sales was due to an increase in Gross profit (40 bps), a decrease in Selling, general and administrative expenses (40 bps) and a decrease in Other (income) expense, net (50 bps), all as a percentage of Net sales. This increase in Gross profit was due to cost savings from the Company’s funding-the-growth initiatives (250 bps) and favorable mix (20 bps), partially offset by higher raw and packaging material costs (200 bps) and lower pricing. This decrease in Selling, general and administrative expenses was due to lower overhead expenses (80 bps), partially offset by increased advertising investment (50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Asia Pacific</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91"/>
        </w:trPr>
        <w:tc>
          <w:tcPr>
            <w:tcW w:w="8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37"/>
        </w:trPr>
        <w:tc>
          <w:tcPr>
            <w:tcW w:w="880" w:type="dxa"/>
            <w:vAlign w:val="bottom"/>
            <w:tcBorders>
              <w:bottom w:val="single" w:sz="8" w:color="CCEEFF"/>
            </w:tcBorders>
          </w:tcPr>
          <w:p>
            <w:pPr>
              <w:spacing w:after="0"/>
              <w:rPr>
                <w:sz w:val="20"/>
                <w:szCs w:val="20"/>
                <w:color w:val="auto"/>
              </w:rPr>
            </w:pPr>
          </w:p>
        </w:tc>
        <w:tc>
          <w:tcPr>
            <w:tcW w:w="6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r>
      <w:tr>
        <w:trPr>
          <w:trHeight w:val="23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 bps</w:t>
            </w:r>
          </w:p>
        </w:tc>
      </w:tr>
    </w:tbl>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sales in Asia Pacific increased 3.5% in the third quarter of 2026 to $802, driven by volume growth of 1.9% and net selling price increases of 2.8%, partially offset by negative foreign exchange of 1.1%. Organic sales in Asia Pacific increased 4.6% in the third quarter of 2026. Organic sales growth was driven by India, the Greater China region and the Philippines.</w:t>
      </w:r>
    </w:p>
    <w:p>
      <w:pPr>
        <w:spacing w:after="0" w:line="23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Asia Pacific in the third quarter of 2026 versus the third quarter of 2025 was primarily due to an increase in Oral Care organic sales, which was largely due to organic sales growth in the toothpaste and manual toothbrush categories.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profit in Asia Pacific decreased 1% in the third quarter of 2026 to $211, or 110 bps to 26.4% as a percentage of Net sales. This decrease in Operating profit as a percentage of Net sales was due to a decrease in Gross profit (40 bps) and an increase in Selling, general and administrative expenses (70 bps), both as a percentage of Net sales. This decrease in Gross profit was due to significantly higher raw and packaging material costs (550 bps), partially offset by cost savings from the Company’s funding-the-growth initiatives (380 bps), higher pricing and favorable mix (30 bps). This increase in Selling, general and administrative expenses was due to increased advertising investment (130 bps), partially offset by lower overhead expenses (60 bps).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Pet Nutrition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90"/>
        </w:trPr>
        <w:tc>
          <w:tcPr>
            <w:tcW w:w="140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60" w:type="dxa"/>
            <w:vAlign w:val="bottom"/>
            <w:tcBorders>
              <w:bottom w:val="single" w:sz="8" w:color="auto"/>
            </w:tcBorders>
          </w:tcPr>
          <w:p>
            <w:pPr>
              <w:spacing w:after="0"/>
              <w:rPr>
                <w:sz w:val="24"/>
                <w:szCs w:val="24"/>
                <w:color w:val="auto"/>
              </w:rPr>
            </w:pPr>
          </w:p>
        </w:tc>
      </w:tr>
      <w:tr>
        <w:trPr>
          <w:trHeight w:val="237"/>
        </w:trPr>
        <w:tc>
          <w:tcPr>
            <w:tcW w:w="1400" w:type="dxa"/>
            <w:vAlign w:val="bottom"/>
            <w:tcBorders>
              <w:bottom w:val="single" w:sz="8" w:color="CCEEFF"/>
            </w:tcBorders>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60" w:type="dxa"/>
            <w:vAlign w:val="bottom"/>
            <w:tcBorders>
              <w:bottom w:val="single" w:sz="8" w:color="auto"/>
            </w:tcBorders>
          </w:tcPr>
          <w:p>
            <w:pPr>
              <w:spacing w:after="0"/>
              <w:rPr>
                <w:sz w:val="20"/>
                <w:szCs w:val="20"/>
                <w:color w:val="auto"/>
              </w:rPr>
            </w:pPr>
          </w:p>
        </w:tc>
      </w:tr>
      <w:tr>
        <w:trPr>
          <w:trHeight w:val="23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 bps</w:t>
            </w:r>
          </w:p>
        </w:tc>
      </w:tr>
    </w:tbl>
    <w:p>
      <w:pPr>
        <w:spacing w:after="0" w:line="21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sales for Hill’s Pet Nutrition increased 5.6% in the third quarter of 2026 to $1,205, driven by volume growth of 1.8% and net selling price increases of 3.9%, partially offset by negative foreign exchange of 0.1%. Organic sales in Hill’s Pet Nutrition increased 5.7% in the third quarter of 2026, including a negative impact from lower private label pet food sales (70 bps). Organic sales growth was led by the United States and Europe.</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Hill’s Pet Nutrition in the third quarter of 2026 versus the third quarter of 2025 was due to organic sales growth in the therapeutic and wellness categories.</w:t>
      </w:r>
    </w:p>
    <w:p>
      <w:pPr>
        <w:spacing w:after="0" w:line="20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Operating profit in Hill’s Pet Nutrition increased 5% in the third quarter of 2026 to $267, while as a percentage of Net sales it decreased by 20 bps to 22.2%. This decrease in Operating profit as a percentage of Net sales was primarily due to an increase in Gross profit (170 bps), more than offset by an increase in Selling, general and administrative expenses (200 bps), both as a percentage of Net sales. This increase in Gross profit was due to cost savings from the Company’s funding-the-growth initiatives (290 bps), higher pricing and favorable mix (20 bps), partially offset by significantly higher raw and packaging material costs (290 bps). This increase in Selling, general and administrative expenses was due to increased advertising investment (290 bps), partially offset by lower overhead expenses (90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Corporate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90"/>
        </w:trPr>
        <w:tc>
          <w:tcPr>
            <w:tcW w:w="760" w:type="dxa"/>
            <w:vAlign w:val="bottom"/>
            <w:tcBorders>
              <w:top w:val="single" w:sz="8" w:color="auto"/>
            </w:tcBorders>
          </w:tcPr>
          <w:p>
            <w:pPr>
              <w:spacing w:after="0"/>
              <w:rPr>
                <w:sz w:val="24"/>
                <w:szCs w:val="24"/>
                <w:color w:val="auto"/>
              </w:rPr>
            </w:pPr>
          </w:p>
        </w:tc>
        <w:tc>
          <w:tcPr>
            <w:tcW w:w="6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37"/>
        </w:trPr>
        <w:tc>
          <w:tcPr>
            <w:tcW w:w="760" w:type="dxa"/>
            <w:vAlign w:val="bottom"/>
            <w:tcBorders>
              <w:bottom w:val="single" w:sz="8" w:color="CCEEFF"/>
            </w:tcBorders>
          </w:tcPr>
          <w:p>
            <w:pPr>
              <w:spacing w:after="0"/>
              <w:rPr>
                <w:sz w:val="20"/>
                <w:szCs w:val="20"/>
                <w:color w:val="auto"/>
              </w:rPr>
            </w:pPr>
          </w:p>
        </w:tc>
        <w:tc>
          <w:tcPr>
            <w:tcW w:w="6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r>
      <w:tr>
        <w:trPr>
          <w:trHeight w:val="237"/>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xml:space="preserve">17 </w:t>
            </w:r>
            <w:r>
              <w:rPr>
                <w:rFonts w:ascii="Arial" w:cs="Arial" w:eastAsia="Arial" w:hAnsi="Arial"/>
                <w:sz w:val="16"/>
                <w:szCs w:val="16"/>
                <w:color w:val="auto"/>
              </w:rPr>
              <w:t>%</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(loss) related to Corporate was $(221) in the third quarter of 2026 as compared to $(189) in the third quarter of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2026, Corporate Operating profit (loss) included charges of $29 resulting from the Strategic Growth and Productivity Program.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Worldwide Net sales were $16,055 in the first nine months of 2026, up 6.0% as compared to the first nine months of 2025, due to volume growth of 1.2%, net selling price increases of 1.9% and positive foreign exchange of 2.8%. The Prime100 acquisition contributed 0.2% to volume. Organic sales increased 3.0% in the first nine months of 2026, including a negative impact from lower private label pet food sales (40 bps).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in the Oral, Personal and Home Care product segment were $12,461 in the first nine months of 2026, up 6.2% from the first nine months of 2025, due to volume growth of 1.5%, net selling price increases of 1.4% and positive foreign exchange of 3.3%. Organic sales in the Oral, Personal and Home Care product segment increased 2.9% in the first nine months of 2026.</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organic sales in the first nine months of 2026 versus the first nine months of 2025 was primarily due to increases in Oral Care and Home Care organic sales. The increase in Oral Care was primarily due to organic sales growth in the toothpaste and manual toothbrush categories. The increase in Home Care was primarily due to organic sales growth in the surface cleaner and hand dish categories.</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sales in the Hill’s Pet Nutrition segment were $3,594 in the first nine months of 2026, an increase of 5.2% from the first nine months of 2025, due to volume growth of 0.3%, net selling price increases of 3.9% and positive foreign exchange of 1.1%. The Prime100 acquisition contributed 0.8% to volume. Organic sales in the Hill’s Pet Nutrition segment increased 3.3% in the first nine months of 2026, including a negative impact from lower private label pet food sales (180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Net Sales and Operating Profit by Segment</w:t>
            </w:r>
          </w:p>
        </w:tc>
        <w:tc>
          <w:tcPr>
            <w:tcW w:w="5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and Operating profit by segment were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3"/>
        </w:trPr>
        <w:tc>
          <w:tcPr>
            <w:tcW w:w="3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37"/>
        </w:trPr>
        <w:tc>
          <w:tcPr>
            <w:tcW w:w="3120" w:type="dxa"/>
            <w:vAlign w:val="bottom"/>
            <w:tcBorders>
              <w:bottom w:val="single" w:sz="8" w:color="CCEEFF"/>
            </w:tcBorders>
          </w:tcPr>
          <w:p>
            <w:pPr>
              <w:spacing w:after="0"/>
              <w:rPr>
                <w:sz w:val="20"/>
                <w:szCs w:val="20"/>
                <w:color w:val="auto"/>
              </w:rPr>
            </w:pPr>
          </w:p>
        </w:tc>
        <w:tc>
          <w:tcPr>
            <w:tcW w:w="5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43"/>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r>
      <w:tr>
        <w:trPr>
          <w:trHeight w:val="243"/>
        </w:trPr>
        <w:tc>
          <w:tcPr>
            <w:tcW w:w="824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Europe, Middle East &amp; Africa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43"/>
        </w:trPr>
        <w:tc>
          <w:tcPr>
            <w:tcW w:w="8240" w:type="dxa"/>
            <w:vAlign w:val="bottom"/>
            <w:tcBorders>
              <w:bottom w:val="single" w:sz="8" w:color="CCEEFF"/>
            </w:tcBorders>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3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r>
      <w:tr>
        <w:trPr>
          <w:trHeight w:val="243"/>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r>
      <w:tr>
        <w:trPr>
          <w:trHeight w:val="262"/>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w:t>
            </w:r>
          </w:p>
        </w:tc>
      </w:tr>
      <w:tr>
        <w:trPr>
          <w:trHeight w:val="20"/>
        </w:trPr>
        <w:tc>
          <w:tcPr>
            <w:tcW w:w="82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43"/>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3"/>
        </w:trPr>
        <w:tc>
          <w:tcPr>
            <w:tcW w:w="824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Europe, Middle East &amp; Africa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43"/>
        </w:trPr>
        <w:tc>
          <w:tcPr>
            <w:tcW w:w="8240" w:type="dxa"/>
            <w:vAlign w:val="bottom"/>
            <w:tcBorders>
              <w:bottom w:val="single" w:sz="8" w:color="CCEEFF"/>
            </w:tcBorders>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7"/>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6"/>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1"/>
        </w:trPr>
        <w:tc>
          <w:tcPr>
            <w:tcW w:w="3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17" w:lineRule="exact"/>
        <w:rPr>
          <w:sz w:val="20"/>
          <w:szCs w:val="20"/>
          <w:color w:val="auto"/>
        </w:rPr>
      </w:pPr>
    </w:p>
    <w:p>
      <w:pPr>
        <w:ind w:left="140" w:hanging="132"/>
        <w:spacing w:after="0"/>
        <w:tabs>
          <w:tab w:leader="none" w:pos="1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has recast its historical geographic segment information to conform to the reporting structure effective as of March 31,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Organic sales change by segment were as follows: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560" w:type="dxa"/>
            <w:vAlign w:val="bottom"/>
          </w:tcPr>
          <w:p>
            <w:pPr>
              <w:spacing w:after="0"/>
              <w:rPr>
                <w:sz w:val="23"/>
                <w:szCs w:val="23"/>
                <w:color w:val="auto"/>
              </w:rPr>
            </w:pPr>
          </w:p>
        </w:tc>
        <w:tc>
          <w:tcPr>
            <w:tcW w:w="56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vs. 2025</w:t>
            </w:r>
          </w:p>
        </w:tc>
      </w:tr>
      <w:tr>
        <w:trPr>
          <w:trHeight w:val="183"/>
        </w:trPr>
        <w:tc>
          <w:tcPr>
            <w:tcW w:w="5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9"/>
              </w:rPr>
              <w:t>As Reported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Organic Sales</w:t>
            </w:r>
          </w:p>
        </w:tc>
        <w:tc>
          <w:tcPr>
            <w:tcW w:w="116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2"/>
              </w:rPr>
              <w:t>Volume</w:t>
            </w:r>
            <w:r>
              <w:rPr>
                <w:rFonts w:ascii="Times New Roman" w:cs="Times New Roman" w:eastAsia="Times New Roman" w:hAnsi="Times New Roman"/>
                <w:sz w:val="23"/>
                <w:szCs w:val="23"/>
                <w:color w:val="auto"/>
                <w:w w:val="92"/>
                <w:vertAlign w:val="superscript"/>
              </w:rPr>
              <w:t>(1)</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Pricing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Exchange</w:t>
            </w:r>
          </w:p>
        </w:tc>
      </w:tr>
      <w:tr>
        <w:trPr>
          <w:trHeight w:val="236"/>
        </w:trPr>
        <w:tc>
          <w:tcPr>
            <w:tcW w:w="5560" w:type="dxa"/>
            <w:vAlign w:val="bottom"/>
            <w:tcBorders>
              <w:top w:val="single" w:sz="8" w:color="CCEEFF"/>
            </w:tcBorders>
            <w:shd w:val="clear" w:color="auto" w:fill="CCEEFF"/>
          </w:tcPr>
          <w:p>
            <w:pPr>
              <w:ind w:left="140"/>
              <w:spacing w:after="0" w:line="236"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(2)</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556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Europe, Middle East &amp; Africa</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556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17"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impact of the acquisition of the Prime100 pet food business on as reported volume was 0.8% and 0.2% for Hill's Pet Nutrition and Total Company, respectively.</w:t>
      </w:r>
    </w:p>
    <w:p>
      <w:pPr>
        <w:spacing w:after="0" w:line="11"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has recast its historical geographic segment information to conform to the reporting structure effective as of March 31, 2026.</w:t>
      </w:r>
    </w:p>
    <w:p>
      <w:pPr>
        <w:spacing w:after="0" w:line="18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first nine months of 2026, Operating profit (loss) related to Corporate was $(902) as compared to $(523) in the first nine months of 2025. Corporate Operating profit (loss) for the nine months ended September 30, 2026 included charges resulting from the Strategic Growth and Productivity Program of $327. Corporate Operating profit (loss) for the nine months ended September 30, 2025 included charges resulting from the ERISA litigation matter of $15 and acquisition-related costs of $9.</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Profit/Margin</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Worldwide Gross profit increased to $9,755 in the first nine months of 2026 from $9,105 in the first nine months of 2025. Worldwide Gross profit in the first nine months of 2026 included charges resulting from the Strategic Growth and Productivity Program. Excluding these charges, Worldwide Gross profit increased to $9,762 in the first nine months of 2026 from $9,105 in the first nine months of 2025, reflecting an increase of $544 resulting from higher Net sales and $113 from higher Gross profit margin.</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Worldwide Gross profit margin increased to 60.8% in the first nine months of 2026 from 60.1% in the first nine months of 2025. This increase in Gross profit margin was due to cost savings from the Company’s funding-the-growth initiatives (270 bps), higher pricing (70 bps) and favorable mix (20 bps), partially offset by significantly higher raw and packaging material costs (290 bps).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40" w:type="dxa"/>
            <w:vAlign w:val="bottom"/>
            <w:tcBorders>
              <w:bottom w:val="single" w:sz="8" w:color="auto"/>
            </w:tcBorders>
          </w:tcPr>
          <w:p>
            <w:pPr>
              <w:spacing w:after="0"/>
              <w:rPr>
                <w:sz w:val="20"/>
                <w:szCs w:val="20"/>
                <w:color w:val="auto"/>
              </w:rPr>
            </w:pPr>
          </w:p>
        </w:tc>
      </w:tr>
      <w:tr>
        <w:trPr>
          <w:trHeight w:val="237"/>
        </w:trPr>
        <w:tc>
          <w:tcPr>
            <w:tcW w:w="7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GAAP</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Basis Point</w:t>
            </w:r>
          </w:p>
        </w:tc>
        <w:tc>
          <w:tcPr>
            <w:tcW w:w="0" w:type="dxa"/>
            <w:vAlign w:val="bottom"/>
          </w:tcPr>
          <w:p>
            <w:pPr>
              <w:spacing w:after="0"/>
              <w:rPr>
                <w:sz w:val="1"/>
                <w:szCs w:val="1"/>
                <w:color w:val="auto"/>
              </w:rPr>
            </w:pPr>
          </w:p>
        </w:tc>
      </w:tr>
      <w:tr>
        <w:trPr>
          <w:trHeight w:val="243"/>
        </w:trPr>
        <w:tc>
          <w:tcPr>
            <w:tcW w:w="67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256"/>
        </w:trPr>
        <w:tc>
          <w:tcPr>
            <w:tcW w:w="7700" w:type="dxa"/>
            <w:vAlign w:val="bottom"/>
            <w:gridSpan w:val="2"/>
            <w:shd w:val="clear" w:color="auto" w:fill="CCEEFF"/>
          </w:tcPr>
          <w:p>
            <w:pPr>
              <w:jc w:val="right"/>
              <w:ind w:right="6170"/>
              <w:spacing w:after="0"/>
              <w:rPr>
                <w:sz w:val="20"/>
                <w:szCs w:val="20"/>
                <w:color w:val="auto"/>
              </w:rPr>
            </w:pPr>
            <w:r>
              <w:rPr>
                <w:rFonts w:ascii="Times New Roman" w:cs="Times New Roman" w:eastAsia="Times New Roman" w:hAnsi="Times New Roman"/>
                <w:sz w:val="18"/>
                <w:szCs w:val="18"/>
                <w:color w:val="auto"/>
                <w:w w:val="99"/>
              </w:rPr>
              <w:t>Gross profit margin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60.8 %</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8% to $6,316 in the first nine months of 2026 from $5,833 in the first nine months of 2025. Selling, general and administrative expenses in the first nine months of 2026 included charges resulting from the Strategic Growth and Productivity Program. Selling, general and administrative expenses in the first nine months of 2025 included charges related to the ERISA litigation matter. Excluding these charges in both periods, as applicable, Selling, general and administrative expenses increased to $6,296 in the first nine months of 2026 from $5,817 in the first nine months of 2025, reflecting increased advertising investment of $266 and higher overhead expenses of $213.</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increased to 39.3% in the first nine months of 2026 from 38.5% in the first nine months of 2025. Excluding the charges described above in both periods, as applicable, Selling, general and administrative expenses as a percentage of Net sales increased to 39.2% in the first nine months of 2026 from 38.4% in the first nine months of 2025. This increase was primarily due to increased advertising investment (90 bps) as a percentage of Net sales. In the first nine months of 2026, advertising investment increased as a percentage of Net sales to 14.2% from 13.3% in the first nine months of 2025, or 13% in absolute terms, to $2,286 as compared to $2,020 in the first nine months of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76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GAAP</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non-GAAP</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0"/>
        </w:trPr>
        <w:tc>
          <w:tcPr>
            <w:tcW w:w="7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82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91"/>
        </w:trPr>
        <w:tc>
          <w:tcPr>
            <w:tcW w:w="7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Basis Point</w:t>
            </w:r>
          </w:p>
        </w:tc>
      </w:tr>
      <w:tr>
        <w:trPr>
          <w:trHeight w:val="234"/>
        </w:trPr>
        <w:tc>
          <w:tcPr>
            <w:tcW w:w="74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r>
      <w:tr>
        <w:trPr>
          <w:trHeight w:val="23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GAAP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21"/>
                <w:szCs w:val="21"/>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non-GAAP</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4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expense, net was $370 and $58 in the first nine months of 2026 and 2025, respectively. Other (income) expense, net in the first nine months of 2026 included charges resulting from the Strategic Growth and Productivity Program. Other (income) expense, net in the first nine months of 2025 included acquisition-related costs. Excluding these items in both periods, as applicable, Other (income) expense, net was $70 in the first nine months of 2026 and $48 in the first nine months of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60" w:type="dxa"/>
            <w:vAlign w:val="bottom"/>
            <w:tcBorders>
              <w:bottom w:val="single" w:sz="8" w:color="auto"/>
            </w:tcBorders>
          </w:tcPr>
          <w:p>
            <w:pPr>
              <w:spacing w:after="0"/>
              <w:rPr>
                <w:sz w:val="20"/>
                <w:szCs w:val="20"/>
                <w:color w:val="auto"/>
              </w:rPr>
            </w:pPr>
          </w:p>
        </w:tc>
      </w:tr>
      <w:tr>
        <w:trPr>
          <w:trHeight w:val="237"/>
        </w:trPr>
        <w:tc>
          <w:tcPr>
            <w:tcW w:w="76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 GAAP</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 non-GAAP</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Profit</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profit decreased 5% to $3,069 in the first nine months of 2026 from $3,214 in the first nine months of 2025. Operating profit in the first nine months of 2026 included charges resulting from the Strategic Growth and Productivity Program. Operating profit in the first nine months of 2025 included charges related to the ERISA litigation matter and acquisition-related costs. Excluding these items in both periods, as applicable, Operating profit increased to $3,396 in the first nine months of 2026 from $3,240 in the first nine months of 2025, due to an increase in Gross profit, partially offset by an increase in Selling, general and administrative expenses and an increase in Other (income) expense, net.</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profit margin was 19.1% in the first nine months of 2026, a decrease of 210 bps compared to 21.2% in the first nine months of 2025. Excluding the items described above in both periods, as applicable, Operating profit margin was 21.2% in the first nine months of 2026, a decrease of 20 bps compared to 21.4% in the first nine months of 2025, primarily due to an increase in Gross profit (70 bps), more than offset by an increase in Selling, general and administrative expenses (80 bps), both as a percentage of Net sales.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4380" w:type="dxa"/>
            <w:vAlign w:val="bottom"/>
            <w:tcBorders>
              <w:bottom w:val="single" w:sz="8" w:color="auto"/>
            </w:tcBorders>
            <w:gridSpan w:val="7"/>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68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r>
      <w:tr>
        <w:trPr>
          <w:trHeight w:val="23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GAAP</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3,069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3,214</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1"/>
                <w:szCs w:val="21"/>
                <w:color w:val="auto"/>
              </w:rPr>
            </w:pPr>
          </w:p>
        </w:tc>
      </w:tr>
      <w:tr>
        <w:trPr>
          <w:trHeight w:val="24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8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88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2"/>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non-GAAP</w:t>
            </w: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29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Basis Point</w:t>
            </w:r>
          </w:p>
        </w:tc>
      </w:tr>
      <w:tr>
        <w:trPr>
          <w:trHeight w:val="243"/>
        </w:trPr>
        <w:tc>
          <w:tcPr>
            <w:tcW w:w="67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23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GAAP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19.1 %</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21.2 %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21"/>
                <w:szCs w:val="21"/>
                <w:color w:val="auto"/>
              </w:rPr>
            </w:pPr>
          </w:p>
        </w:tc>
      </w:tr>
      <w:tr>
        <w:trPr>
          <w:trHeight w:val="243"/>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560" w:type="dxa"/>
            <w:vAlign w:val="bottom"/>
            <w:gridSpan w:val="3"/>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non-GAAP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21.2 %</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21.4 %</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Non-Service Related Postretirement Costs</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Non-service related postretirement costs were $70 and $116 in the first nine months of 2026 and 2025, respectively. Non-service related postretirement costs in the first nine months of 2026 included charges resulting from the Strategic Growth and Productivity Program. Non-service related postretirement costs in the first nine months of 2025 included charges related to the ERISA litigation matter. Excluding these charges in both periods, as applicable, Non-service related postretirement costs were $64 in the first nine months of 2026 and $66 in the first nine months of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40" w:type="dxa"/>
            <w:vAlign w:val="bottom"/>
            <w:tcBorders>
              <w:bottom w:val="single" w:sz="8" w:color="auto"/>
            </w:tcBorders>
          </w:tcPr>
          <w:p>
            <w:pPr>
              <w:spacing w:after="0"/>
              <w:rPr>
                <w:sz w:val="20"/>
                <w:szCs w:val="20"/>
                <w:color w:val="auto"/>
              </w:rPr>
            </w:pPr>
          </w:p>
        </w:tc>
      </w:tr>
      <w:tr>
        <w:trPr>
          <w:trHeight w:val="237"/>
        </w:trPr>
        <w:tc>
          <w:tcPr>
            <w:tcW w:w="70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r>
      <w:tr>
        <w:trPr>
          <w:trHeight w:val="23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GAAP</w:t>
            </w: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Growth and Productivity Program</w:t>
            </w:r>
          </w:p>
        </w:tc>
        <w:tc>
          <w:tcPr>
            <w:tcW w:w="152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5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non-GAAP</w:t>
            </w:r>
          </w:p>
        </w:tc>
        <w:tc>
          <w:tcPr>
            <w:tcW w:w="152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7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23.6% and 22.8% for the third quarter of 2026 and 2025, respectively. As reflected in the table below, the non-GAAP effective income tax rate was 23.3% and 22.8% for the third quarter of 2026 and 2025, respectively.</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23.8% and 23.2% for the first nine months of 2026 and 2025, respectively. As reflected in the table below, the non-GAAP effective income tax rate was 23.3% for the first nine months of 2026 and 23.2% for the first nine months of 2025.</w:t>
      </w:r>
    </w:p>
    <w:p>
      <w:pPr>
        <w:spacing w:after="0" w:line="1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quarterly provision for income taxes is determined based on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estimated full year effective income tax rate adjusted by the amount of tax attributable to infrequent or unusual items that are separately recognized on a discrete basis in the income tax provision in the quarter in which they occur.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current estimate of its full year effective income tax rate before discrete period items is 23.5%, compared to 23.3% in 2025.</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4, 2025, U.S. tax legislation was signed into law (the “OBBBA”) which made permanent many of the tax provisions enacted in 2017 as part of the Tax Cuts and Jobs Act that were set to expire at the end of 2025. In addition, the OBBBA made changes to certain U.S. corporate tax provisions, many of which were effective beginning January 1, 2026. The OBBBA did not have a material effect on the Company’s Consolidated Financial Statements for the nine months ended September 30, 2026.</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 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15, 2022, the 27 member states of the European Union (“EU”) reached an agreement to establish a minimum level of taxation for certain large corporations by paying a minimum corporate tax rate of 15% in every jurisdiction in which they operate. This agreement, which is part of the Pillar II Model Rules initiative (“Pillar II”) agreed by all members of the Organization for Economic Cooperation and Development (“OECD”) and its Inclusive Framework (“IF”), was transposed into the laws of most EU member states by December 31, 2023. Subsequently, many other jurisdictions outside the EU have enacted similar minimum tax regimes consistent with the policy of Pillar II.</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on current legislation and available guidance, apart from the significant additional time and resources required to comply, Pillar II did not have a material impact on the Company’s Consolidated Financial Statements for the nine months ended September 30, 2026 and the Company does not believe it will have a material impact going forward.</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On January 5, 2026, IF reached an agreement known as the “Side-by-Side Package” that modifies key aspects of Pillar II and was effective beginning January 1, 2026. The Side-by-Side Package introduces various new safe harbors that the Company is expected to be eligible for and that, when fully enacted, should result in a reduction of compliance costs of Pillar II, among other benefits. However, as these rules and related regulations are revised and implemented, the Company will evaluate the impact, if any,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5" w:name="page46"/>
    <w:bookmarkEnd w:id="4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two unrelated third parties on similar matters. In October 2025, in one of those cases, the applicable U.S. Court of Appeals reversed the U.S. Tax Court’s decision and ruled in favor of the taxpayer. The case involving the other third party is still pending. The Company continues to believe that the tax assessment against the Company is without merit. While there can be no assurances, the Company believes this matter will ultimately be decided in favor of the Company. The amount of tax plus interest for the years 2010 through 2021 is estimated to be approximately $170, which is not included in the Company’s uncertain tax positions. In May 2024, the IRS initiated an audit for the years 2019 through 2021, which is still ongoing.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37"/>
        </w:trPr>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83"/>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rPr>
              <w:t>Income Before</w:t>
            </w:r>
          </w:p>
        </w:tc>
        <w:tc>
          <w:tcPr>
            <w:tcW w:w="128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8"/>
                <w:szCs w:val="18"/>
                <w:color w:val="auto"/>
              </w:rPr>
              <w:t>Provision For</w:t>
            </w:r>
          </w:p>
        </w:tc>
        <w:tc>
          <w:tcPr>
            <w:tcW w:w="150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Effective Income</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rPr>
              <w:t>Income Before</w:t>
            </w:r>
          </w:p>
        </w:tc>
        <w:tc>
          <w:tcPr>
            <w:tcW w:w="120" w:type="dxa"/>
            <w:vAlign w:val="bottom"/>
          </w:tcPr>
          <w:p>
            <w:pPr>
              <w:spacing w:after="0"/>
              <w:rPr>
                <w:sz w:val="15"/>
                <w:szCs w:val="15"/>
                <w:color w:val="auto"/>
              </w:rPr>
            </w:pPr>
          </w:p>
        </w:tc>
        <w:tc>
          <w:tcPr>
            <w:tcW w:w="12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Provision For</w:t>
            </w:r>
          </w:p>
        </w:tc>
        <w:tc>
          <w:tcPr>
            <w:tcW w:w="13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Effective Income</w:t>
            </w:r>
          </w:p>
        </w:tc>
      </w:tr>
      <w:tr>
        <w:trPr>
          <w:trHeight w:val="243"/>
        </w:trPr>
        <w:tc>
          <w:tcPr>
            <w:tcW w:w="2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Income Taxes</w:t>
            </w:r>
          </w:p>
        </w:tc>
        <w:tc>
          <w:tcPr>
            <w:tcW w:w="12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500" w:type="dxa"/>
            <w:vAlign w:val="bottom"/>
            <w:gridSpan w:val="2"/>
          </w:tcPr>
          <w:p>
            <w:pPr>
              <w:ind w:left="320"/>
              <w:spacing w:after="0" w:line="243"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Income Taxes</w:t>
            </w:r>
          </w:p>
        </w:tc>
        <w:tc>
          <w:tcPr>
            <w:tcW w:w="13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36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(2)</w:t>
            </w:r>
          </w:p>
        </w:tc>
      </w:tr>
      <w:tr>
        <w:trPr>
          <w:trHeight w:val="236"/>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189"/>
        </w:trPr>
        <w:tc>
          <w:tcPr>
            <w:tcW w:w="2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Strategic Growth and Productivity</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37"/>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83"/>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8"/>
              </w:rPr>
              <w:t>Income Before</w:t>
            </w:r>
          </w:p>
        </w:tc>
        <w:tc>
          <w:tcPr>
            <w:tcW w:w="120" w:type="dxa"/>
            <w:vAlign w:val="bottom"/>
          </w:tcPr>
          <w:p>
            <w:pPr>
              <w:spacing w:after="0"/>
              <w:rPr>
                <w:sz w:val="15"/>
                <w:szCs w:val="15"/>
                <w:color w:val="auto"/>
              </w:rPr>
            </w:pPr>
          </w:p>
        </w:tc>
        <w:tc>
          <w:tcPr>
            <w:tcW w:w="12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Provision For</w:t>
            </w:r>
          </w:p>
        </w:tc>
        <w:tc>
          <w:tcPr>
            <w:tcW w:w="150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Effective Income</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rPr>
              <w:t>Income Before</w:t>
            </w:r>
          </w:p>
        </w:tc>
        <w:tc>
          <w:tcPr>
            <w:tcW w:w="120" w:type="dxa"/>
            <w:vAlign w:val="bottom"/>
          </w:tcPr>
          <w:p>
            <w:pPr>
              <w:spacing w:after="0"/>
              <w:rPr>
                <w:sz w:val="15"/>
                <w:szCs w:val="15"/>
                <w:color w:val="auto"/>
              </w:rPr>
            </w:pPr>
          </w:p>
        </w:tc>
        <w:tc>
          <w:tcPr>
            <w:tcW w:w="12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Provision For</w:t>
            </w:r>
          </w:p>
        </w:tc>
        <w:tc>
          <w:tcPr>
            <w:tcW w:w="13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Effective Income</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Income Taxes</w:t>
            </w:r>
          </w:p>
        </w:tc>
        <w:tc>
          <w:tcPr>
            <w:tcW w:w="13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5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Income Taxes</w:t>
            </w:r>
          </w:p>
        </w:tc>
        <w:tc>
          <w:tcPr>
            <w:tcW w:w="13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34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(2)</w:t>
            </w:r>
          </w:p>
        </w:tc>
      </w:tr>
      <w:tr>
        <w:trPr>
          <w:trHeight w:val="237"/>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189"/>
        </w:trPr>
        <w:tc>
          <w:tcPr>
            <w:tcW w:w="28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Strategic Growth and Productivity</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Tables may not sum due to rounding.</w:t>
      </w:r>
    </w:p>
    <w:p>
      <w:pPr>
        <w:spacing w:after="0" w:line="177"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income tax effect on non-GAAP items is calculated based upon the tax laws and statutory income tax rates applicable in the tax jurisdiction(s) of the underlying non-GAAP adjustment.</w:t>
      </w:r>
    </w:p>
    <w:p>
      <w:pPr>
        <w:spacing w:after="0" w:line="7" w:lineRule="exact"/>
        <w:rPr>
          <w:rFonts w:ascii="Times New Roman" w:cs="Times New Roman" w:eastAsia="Times New Roman" w:hAnsi="Times New Roman"/>
          <w:sz w:val="16"/>
          <w:szCs w:val="16"/>
          <w:color w:val="auto"/>
          <w:vertAlign w:val="superscript"/>
        </w:rPr>
      </w:pPr>
    </w:p>
    <w:p>
      <w:pPr>
        <w:ind w:left="180" w:right="120" w:hanging="172"/>
        <w:spacing w:after="0" w:line="226" w:lineRule="auto"/>
        <w:tabs>
          <w:tab w:leader="none" w:pos="15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impact of non-GAAP items on the Company’s effective tax rate represents the difference in the effective tax rate calculated with and without the non-GAAP adjustment on Income before income taxes and Provision for income taxes.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6" w:name="page47"/>
    <w:bookmarkEnd w:id="46"/>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Colgate-Palmolive Company and Earnings Per Share</w:t>
      </w:r>
    </w:p>
    <w:p>
      <w:pPr>
        <w:spacing w:after="0" w:line="23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income attributable to Colgate-Palmolive Company in the first nine months of 2026 decreased to $2,090 from $2,169 in the comparable 2025 period. Earnings per common share on a diluted basis decreased to $2.61 in the first nine months of 2026 from $2.67 in the comparable 2025 period. Net income attributable to Colgate-Palmolive Company in the first nine months of 2026 included charges resulting from the Strategic Growth and Productivity Program. Net income attributable to Colgate-Palmolive Company in the first nine months of 2025 included charges related to the ERISA litigation matter and acquisition-related costs.</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Excluding the items described above in both periods, as applicable, Net income attributable to Colgate-Palmolive Company in the first nine months of 2026 increased 6% to $2,359 from $2,228 in the first nine months of 2025, and Earnings per common share on a diluted basis increased 7% to $2.94 in the first nine months of 2026 from $2.74 in the first nine months of 2025.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Income</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Provision For</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Net Income</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Less: Income</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Net Income</w:t>
            </w:r>
          </w:p>
        </w:tc>
        <w:tc>
          <w:tcPr>
            <w:tcW w:w="120" w:type="dxa"/>
            <w:vAlign w:val="bottom"/>
          </w:tcPr>
          <w:p>
            <w:pPr>
              <w:spacing w:after="0"/>
              <w:rPr>
                <w:sz w:val="16"/>
                <w:szCs w:val="16"/>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Diluted</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rPr>
              <w:t>Before</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8"/>
              </w:rPr>
              <w:t>Including</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w w:val="98"/>
              </w:rPr>
              <w:t>Attributable to</w:t>
            </w:r>
          </w:p>
        </w:tc>
        <w:tc>
          <w:tcPr>
            <w:tcW w:w="160" w:type="dxa"/>
            <w:vAlign w:val="bottom"/>
          </w:tcPr>
          <w:p>
            <w:pPr>
              <w:spacing w:after="0"/>
              <w:rPr>
                <w:sz w:val="15"/>
                <w:szCs w:val="15"/>
                <w:color w:val="auto"/>
              </w:rPr>
            </w:pPr>
          </w:p>
        </w:tc>
        <w:tc>
          <w:tcPr>
            <w:tcW w:w="17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rPr>
              <w:t>Attributable To</w:t>
            </w: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Income</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6"/>
              </w:rPr>
              <w:t>Income</w:t>
            </w:r>
          </w:p>
        </w:tc>
        <w:tc>
          <w:tcPr>
            <w:tcW w:w="180" w:type="dxa"/>
            <w:vAlign w:val="bottom"/>
          </w:tcPr>
          <w:p>
            <w:pPr>
              <w:spacing w:after="0"/>
              <w:rPr>
                <w:sz w:val="15"/>
                <w:szCs w:val="15"/>
                <w:color w:val="auto"/>
              </w:rPr>
            </w:pPr>
          </w:p>
        </w:tc>
        <w:tc>
          <w:tcPr>
            <w:tcW w:w="15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5"/>
                <w:szCs w:val="15"/>
                <w:color w:val="auto"/>
              </w:rPr>
            </w:pPr>
          </w:p>
        </w:tc>
        <w:tc>
          <w:tcPr>
            <w:tcW w:w="17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Colgate-Palmolive</w:t>
            </w:r>
          </w:p>
        </w:tc>
        <w:tc>
          <w:tcPr>
            <w:tcW w:w="120" w:type="dxa"/>
            <w:vAlign w:val="bottom"/>
          </w:tcPr>
          <w:p>
            <w:pPr>
              <w:spacing w:after="0"/>
              <w:rPr>
                <w:sz w:val="15"/>
                <w:szCs w:val="15"/>
                <w:color w:val="auto"/>
              </w:rPr>
            </w:pPr>
          </w:p>
        </w:tc>
        <w:tc>
          <w:tcPr>
            <w:tcW w:w="10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Earnings Per</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Taxes</w:t>
            </w:r>
          </w:p>
        </w:tc>
        <w:tc>
          <w:tcPr>
            <w:tcW w:w="200" w:type="dxa"/>
            <w:vAlign w:val="bottom"/>
          </w:tcPr>
          <w:p>
            <w:pPr>
              <w:spacing w:after="0"/>
              <w:rPr>
                <w:sz w:val="19"/>
                <w:szCs w:val="19"/>
                <w:color w:val="auto"/>
              </w:rPr>
            </w:pPr>
          </w:p>
        </w:tc>
        <w:tc>
          <w:tcPr>
            <w:tcW w:w="1060" w:type="dxa"/>
            <w:vAlign w:val="bottom"/>
            <w:gridSpan w:val="2"/>
          </w:tcPr>
          <w:p>
            <w:pPr>
              <w:jc w:val="center"/>
              <w:ind w:right="300"/>
              <w:spacing w:after="0" w:line="230" w:lineRule="exact"/>
              <w:rPr>
                <w:sz w:val="20"/>
                <w:szCs w:val="20"/>
                <w:color w:val="auto"/>
              </w:rPr>
            </w:pPr>
            <w:r>
              <w:rPr>
                <w:rFonts w:ascii="Times New Roman" w:cs="Times New Roman" w:eastAsia="Times New Roman" w:hAnsi="Times New Roman"/>
                <w:sz w:val="18"/>
                <w:szCs w:val="18"/>
                <w:color w:val="auto"/>
                <w:w w:val="91"/>
              </w:rPr>
              <w:t>Taxes</w:t>
            </w:r>
            <w:r>
              <w:rPr>
                <w:rFonts w:ascii="Times New Roman" w:cs="Times New Roman" w:eastAsia="Times New Roman" w:hAnsi="Times New Roman"/>
                <w:sz w:val="23"/>
                <w:szCs w:val="23"/>
                <w:color w:val="auto"/>
                <w:w w:val="91"/>
                <w:vertAlign w:val="superscript"/>
              </w:rPr>
              <w:t>(1)</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Company</w:t>
            </w:r>
          </w:p>
        </w:tc>
        <w:tc>
          <w:tcPr>
            <w:tcW w:w="120" w:type="dxa"/>
            <w:vAlign w:val="bottom"/>
          </w:tcPr>
          <w:p>
            <w:pPr>
              <w:spacing w:after="0"/>
              <w:rPr>
                <w:sz w:val="19"/>
                <w:szCs w:val="19"/>
                <w:color w:val="auto"/>
              </w:rPr>
            </w:pPr>
          </w:p>
        </w:tc>
        <w:tc>
          <w:tcPr>
            <w:tcW w:w="1040" w:type="dxa"/>
            <w:vAlign w:val="bottom"/>
          </w:tcPr>
          <w:p>
            <w:pPr>
              <w:jc w:val="center"/>
              <w:ind w:right="30"/>
              <w:spacing w:after="0" w:line="230" w:lineRule="exact"/>
              <w:rPr>
                <w:sz w:val="20"/>
                <w:szCs w:val="20"/>
                <w:color w:val="auto"/>
              </w:rPr>
            </w:pPr>
            <w:r>
              <w:rPr>
                <w:rFonts w:ascii="Times New Roman" w:cs="Times New Roman" w:eastAsia="Times New Roman" w:hAnsi="Times New Roman"/>
                <w:sz w:val="18"/>
                <w:szCs w:val="18"/>
                <w:color w:val="auto"/>
                <w:w w:val="95"/>
              </w:rPr>
              <w:t>Share</w:t>
            </w:r>
            <w:r>
              <w:rPr>
                <w:rFonts w:ascii="Times New Roman" w:cs="Times New Roman" w:eastAsia="Times New Roman" w:hAnsi="Times New Roman"/>
                <w:sz w:val="23"/>
                <w:szCs w:val="23"/>
                <w:color w:val="auto"/>
                <w:w w:val="95"/>
                <w:vertAlign w:val="superscript"/>
              </w:rPr>
              <w:t>(2)</w:t>
            </w:r>
          </w:p>
        </w:tc>
        <w:tc>
          <w:tcPr>
            <w:tcW w:w="0" w:type="dxa"/>
            <w:vAlign w:val="bottom"/>
          </w:tcPr>
          <w:p>
            <w:pPr>
              <w:spacing w:after="0"/>
              <w:rPr>
                <w:sz w:val="1"/>
                <w:szCs w:val="1"/>
                <w:color w:val="auto"/>
              </w:rPr>
            </w:pPr>
          </w:p>
        </w:tc>
      </w:tr>
      <w:tr>
        <w:trPr>
          <w:trHeight w:val="237"/>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198"/>
        </w:trPr>
        <w:tc>
          <w:tcPr>
            <w:tcW w:w="2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Strategic Growth and Productivity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62"/>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Income</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Provision For</w:t>
            </w:r>
          </w:p>
        </w:tc>
        <w:tc>
          <w:tcPr>
            <w:tcW w:w="180" w:type="dxa"/>
            <w:vAlign w:val="bottom"/>
          </w:tcPr>
          <w:p>
            <w:pPr>
              <w:spacing w:after="0"/>
              <w:rPr>
                <w:sz w:val="15"/>
                <w:szCs w:val="15"/>
                <w:color w:val="auto"/>
              </w:rPr>
            </w:pPr>
          </w:p>
        </w:tc>
        <w:tc>
          <w:tcPr>
            <w:tcW w:w="152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Net Income</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rPr>
              <w:t>Less: Income</w:t>
            </w:r>
          </w:p>
        </w:tc>
        <w:tc>
          <w:tcPr>
            <w:tcW w:w="140" w:type="dxa"/>
            <w:vAlign w:val="bottom"/>
          </w:tcPr>
          <w:p>
            <w:pPr>
              <w:spacing w:after="0"/>
              <w:rPr>
                <w:sz w:val="15"/>
                <w:szCs w:val="15"/>
                <w:color w:val="auto"/>
              </w:rPr>
            </w:pPr>
          </w:p>
        </w:tc>
        <w:tc>
          <w:tcPr>
            <w:tcW w:w="162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9"/>
              </w:rPr>
              <w:t>Net Income</w:t>
            </w:r>
          </w:p>
        </w:tc>
        <w:tc>
          <w:tcPr>
            <w:tcW w:w="120" w:type="dxa"/>
            <w:vAlign w:val="bottom"/>
          </w:tcPr>
          <w:p>
            <w:pPr>
              <w:spacing w:after="0"/>
              <w:rPr>
                <w:sz w:val="15"/>
                <w:szCs w:val="15"/>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Diluted</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Before</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Including</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Attributable to</w:t>
            </w:r>
          </w:p>
        </w:tc>
        <w:tc>
          <w:tcPr>
            <w:tcW w:w="140" w:type="dxa"/>
            <w:vAlign w:val="bottom"/>
          </w:tcPr>
          <w:p>
            <w:pPr>
              <w:spacing w:after="0"/>
              <w:rPr>
                <w:sz w:val="15"/>
                <w:szCs w:val="15"/>
                <w:color w:val="auto"/>
              </w:rPr>
            </w:pP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6"/>
              </w:rPr>
              <w:t>Income</w:t>
            </w:r>
          </w:p>
        </w:tc>
        <w:tc>
          <w:tcPr>
            <w:tcW w:w="180" w:type="dxa"/>
            <w:vAlign w:val="bottom"/>
          </w:tcPr>
          <w:p>
            <w:pPr>
              <w:spacing w:after="0"/>
              <w:rPr>
                <w:sz w:val="16"/>
                <w:szCs w:val="16"/>
                <w:color w:val="auto"/>
              </w:rPr>
            </w:pPr>
          </w:p>
        </w:tc>
        <w:tc>
          <w:tcPr>
            <w:tcW w:w="15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40" w:type="dxa"/>
            <w:vAlign w:val="bottom"/>
          </w:tcPr>
          <w:p>
            <w:pPr>
              <w:spacing w:after="0"/>
              <w:rPr>
                <w:sz w:val="16"/>
                <w:szCs w:val="16"/>
                <w:color w:val="auto"/>
              </w:rPr>
            </w:pPr>
          </w:p>
        </w:tc>
        <w:tc>
          <w:tcPr>
            <w:tcW w:w="16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Colgate-Palmolive</w:t>
            </w:r>
          </w:p>
        </w:tc>
        <w:tc>
          <w:tcPr>
            <w:tcW w:w="120" w:type="dxa"/>
            <w:vAlign w:val="bottom"/>
          </w:tcPr>
          <w:p>
            <w:pPr>
              <w:spacing w:after="0"/>
              <w:rPr>
                <w:sz w:val="16"/>
                <w:szCs w:val="16"/>
                <w:color w:val="auto"/>
              </w:rPr>
            </w:pPr>
          </w:p>
        </w:tc>
        <w:tc>
          <w:tcPr>
            <w:tcW w:w="10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Earnings Per</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Taxes</w:t>
            </w:r>
          </w:p>
        </w:tc>
        <w:tc>
          <w:tcPr>
            <w:tcW w:w="200" w:type="dxa"/>
            <w:vAlign w:val="bottom"/>
          </w:tcPr>
          <w:p>
            <w:pPr>
              <w:spacing w:after="0"/>
              <w:rPr>
                <w:sz w:val="19"/>
                <w:szCs w:val="19"/>
                <w:color w:val="auto"/>
              </w:rPr>
            </w:pPr>
          </w:p>
        </w:tc>
        <w:tc>
          <w:tcPr>
            <w:tcW w:w="1060" w:type="dxa"/>
            <w:vAlign w:val="bottom"/>
            <w:gridSpan w:val="2"/>
          </w:tcPr>
          <w:p>
            <w:pPr>
              <w:jc w:val="center"/>
              <w:ind w:right="300"/>
              <w:spacing w:after="0" w:line="230" w:lineRule="exact"/>
              <w:rPr>
                <w:sz w:val="20"/>
                <w:szCs w:val="20"/>
                <w:color w:val="auto"/>
              </w:rPr>
            </w:pPr>
            <w:r>
              <w:rPr>
                <w:rFonts w:ascii="Times New Roman" w:cs="Times New Roman" w:eastAsia="Times New Roman" w:hAnsi="Times New Roman"/>
                <w:sz w:val="18"/>
                <w:szCs w:val="18"/>
                <w:color w:val="auto"/>
                <w:w w:val="91"/>
              </w:rPr>
              <w:t>Taxes</w:t>
            </w:r>
            <w:r>
              <w:rPr>
                <w:rFonts w:ascii="Times New Roman" w:cs="Times New Roman" w:eastAsia="Times New Roman" w:hAnsi="Times New Roman"/>
                <w:sz w:val="23"/>
                <w:szCs w:val="23"/>
                <w:color w:val="auto"/>
                <w:w w:val="91"/>
                <w:vertAlign w:val="superscript"/>
              </w:rPr>
              <w:t>(1)</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Company</w:t>
            </w:r>
          </w:p>
        </w:tc>
        <w:tc>
          <w:tcPr>
            <w:tcW w:w="120" w:type="dxa"/>
            <w:vAlign w:val="bottom"/>
          </w:tcPr>
          <w:p>
            <w:pPr>
              <w:spacing w:after="0"/>
              <w:rPr>
                <w:sz w:val="19"/>
                <w:szCs w:val="19"/>
                <w:color w:val="auto"/>
              </w:rPr>
            </w:pPr>
          </w:p>
        </w:tc>
        <w:tc>
          <w:tcPr>
            <w:tcW w:w="1040" w:type="dxa"/>
            <w:vAlign w:val="bottom"/>
          </w:tcPr>
          <w:p>
            <w:pPr>
              <w:jc w:val="center"/>
              <w:ind w:right="30"/>
              <w:spacing w:after="0" w:line="230" w:lineRule="exact"/>
              <w:rPr>
                <w:sz w:val="20"/>
                <w:szCs w:val="20"/>
                <w:color w:val="auto"/>
              </w:rPr>
            </w:pPr>
            <w:r>
              <w:rPr>
                <w:rFonts w:ascii="Times New Roman" w:cs="Times New Roman" w:eastAsia="Times New Roman" w:hAnsi="Times New Roman"/>
                <w:sz w:val="18"/>
                <w:szCs w:val="18"/>
                <w:color w:val="auto"/>
                <w:w w:val="95"/>
              </w:rPr>
              <w:t>Share</w:t>
            </w:r>
            <w:r>
              <w:rPr>
                <w:rFonts w:ascii="Times New Roman" w:cs="Times New Roman" w:eastAsia="Times New Roman" w:hAnsi="Times New Roman"/>
                <w:sz w:val="23"/>
                <w:szCs w:val="23"/>
                <w:color w:val="auto"/>
                <w:w w:val="95"/>
                <w:vertAlign w:val="superscript"/>
              </w:rPr>
              <w:t>(2)</w:t>
            </w:r>
          </w:p>
        </w:tc>
        <w:tc>
          <w:tcPr>
            <w:tcW w:w="0" w:type="dxa"/>
            <w:vAlign w:val="bottom"/>
          </w:tcPr>
          <w:p>
            <w:pPr>
              <w:spacing w:after="0"/>
              <w:rPr>
                <w:sz w:val="1"/>
                <w:szCs w:val="1"/>
                <w:color w:val="auto"/>
              </w:rPr>
            </w:pPr>
          </w:p>
        </w:tc>
      </w:tr>
      <w:tr>
        <w:trPr>
          <w:trHeight w:val="237"/>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Tables may not sum due to rounding.</w:t>
      </w:r>
    </w:p>
    <w:p>
      <w:pPr>
        <w:spacing w:after="0" w:line="190"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income tax effect on non-GAAP items is calculated based upon the tax laws and statutory income tax rates applicable in the tax jurisdiction(s) of the underlying non-GAAP adjustment.</w:t>
      </w:r>
    </w:p>
    <w:p>
      <w:pPr>
        <w:spacing w:after="0" w:line="7"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impact of non-GAAP adjustments on diluted earnings per share may not necessarily equal the difference between “GAAP” and “non-GAAP” as a result of rounding.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Implementation Charges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Growth and Productivity Program</w:t>
      </w:r>
    </w:p>
    <w:p>
      <w:pPr>
        <w:spacing w:after="0" w:line="22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On July 31, 2025, the Board approved the Strategic Growth and Productivity Program. The program includes initiatives to better align the Company’s organizational structure to support its strategic initiatives, optimize the Company’s global supply chain to drive agility and efficiencies and simplify and streamline its organizational structure to reduce overhead costs.</w:t>
      </w:r>
    </w:p>
    <w:p>
      <w:pPr>
        <w:spacing w:after="0" w:line="2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April 30, 2026, the Company’s Board approved an expansion of the program to continue to align the Company’s operations to drive future growth and support the Company’s 2030 strategy.</w:t>
      </w:r>
    </w:p>
    <w:p>
      <w:pPr>
        <w:spacing w:after="0" w:line="20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Strategic Growth and Productivity Program is estimated to result in cumulative pre-tax charges, once all initiatives are approved and implemented, totaling between $350 and $550. These pre-tax charges are currently estimated to be comprised of the following: employee-related costs, including severance and other termination benefits (70% to 80%) and asset-related costs and other charges (20% to 30%), which include accelerated depreciation, asset write-downs, contract termination and other exit costs. It is estimated that approximately 80% to 90% of the charges will result in cash expenditures and substantially all charges resulting from the program will be incurred by December 31, 2028. Annualized pretax savings are projected to be in the range of $200 to $300, once all projects are approved and implemented.</w:t>
      </w:r>
    </w:p>
    <w:p>
      <w:pPr>
        <w:spacing w:after="0" w:line="193"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It is estimated that the cumulative pre-tax charges, once all projects are approved and implemented, will relate to initiatives undertaken in North America (5% to 10%), Latin America (15% to 20%), EMEA (25% to 30%), Asia Pacific (10% to 15%), Hill’s Pet Nutrition (10% to 15%) and Corporate (20% to 25%).</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charges resulting from the Strategic Growth and Productivity Program are reflected in the income statement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320" w:type="dxa"/>
            <w:vAlign w:val="bottom"/>
          </w:tcPr>
          <w:p>
            <w:pPr>
              <w:spacing w:after="0"/>
              <w:rPr>
                <w:sz w:val="18"/>
                <w:szCs w:val="18"/>
                <w:color w:val="auto"/>
              </w:rPr>
            </w:pPr>
          </w:p>
        </w:tc>
        <w:tc>
          <w:tcPr>
            <w:tcW w:w="2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0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3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w:t>
            </w:r>
          </w:p>
        </w:tc>
        <w:tc>
          <w:tcPr>
            <w:tcW w:w="5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pre-tax</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6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after-tax</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Restructuring and related implementation charges are recorded in the Corporate segment as these initiatives are predominantly centrally directed and controlled and are not included in internal measures of segment operating performance.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charges incurred for the Strategic Growth and Productivity Program relate to initiatives undertaken by the following reportable operating segments and Corporate: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1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Program-to-date Accumulated</w:t>
            </w:r>
          </w:p>
        </w:tc>
      </w:tr>
      <w:tr>
        <w:trPr>
          <w:trHeight w:val="241"/>
        </w:trPr>
        <w:tc>
          <w:tcPr>
            <w:tcW w:w="330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5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100" w:type="dxa"/>
            <w:vAlign w:val="bottom"/>
            <w:tcBorders>
              <w:bottom w:val="single" w:sz="8" w:color="CCEEFF"/>
            </w:tcBorders>
          </w:tcPr>
          <w:p>
            <w:pPr>
              <w:spacing w:after="0"/>
              <w:rPr>
                <w:sz w:val="20"/>
                <w:szCs w:val="20"/>
                <w:color w:val="auto"/>
              </w:rPr>
            </w:pPr>
          </w:p>
        </w:tc>
        <w:tc>
          <w:tcPr>
            <w:tcW w:w="25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Charges</w:t>
            </w:r>
          </w:p>
        </w:tc>
      </w:tr>
      <w:tr>
        <w:trPr>
          <w:trHeight w:val="23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the inception of the Strategic Growth and Productivity Program, the Company has incurred cumulative pre-tax charges of $346 ($278 after-tax) in connection with the implementation of various projects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Cumulative Charges as of</w:t>
            </w:r>
          </w:p>
        </w:tc>
        <w:tc>
          <w:tcPr>
            <w:tcW w:w="0" w:type="dxa"/>
            <w:vAlign w:val="bottom"/>
          </w:tcPr>
          <w:p>
            <w:pPr>
              <w:spacing w:after="0"/>
              <w:rPr>
                <w:sz w:val="1"/>
                <w:szCs w:val="1"/>
                <w:color w:val="auto"/>
              </w:rPr>
            </w:pPr>
          </w:p>
        </w:tc>
      </w:tr>
      <w:tr>
        <w:trPr>
          <w:trHeight w:val="238"/>
        </w:trPr>
        <w:tc>
          <w:tcPr>
            <w:tcW w:w="8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3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Asset-Related Costs and Other</w:t>
            </w: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62"/>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accrual:</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2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Employee-Related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Asset-Related Costs &amp; Other</w:t>
            </w:r>
          </w:p>
        </w:tc>
        <w:tc>
          <w:tcPr>
            <w:tcW w:w="640" w:type="dxa"/>
            <w:vAlign w:val="bottom"/>
          </w:tcPr>
          <w:p>
            <w:pPr>
              <w:spacing w:after="0"/>
              <w:rPr>
                <w:sz w:val="16"/>
                <w:szCs w:val="16"/>
                <w:color w:val="auto"/>
              </w:rPr>
            </w:pPr>
          </w:p>
        </w:tc>
        <w:tc>
          <w:tcPr>
            <w:tcW w:w="180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p>
        </w:tc>
        <w:tc>
          <w:tcPr>
            <w:tcW w:w="2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2000" w:type="dxa"/>
            <w:vAlign w:val="bottom"/>
            <w:tcBorders>
              <w:top w:val="single" w:sz="8" w:color="auto"/>
            </w:tcBorders>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tcBorders>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w w:val="95"/>
              </w:rPr>
              <w:t>(8)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against assets and liabilities</w:t>
            </w:r>
          </w:p>
        </w:tc>
        <w:tc>
          <w:tcPr>
            <w:tcW w:w="2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000" w:type="dxa"/>
            <w:vAlign w:val="bottom"/>
            <w:tcBorders>
              <w:top w:val="single" w:sz="8" w:color="auto"/>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Employee-Related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Asset-Related Costs &amp; Other</w:t>
            </w:r>
          </w:p>
        </w:tc>
        <w:tc>
          <w:tcPr>
            <w:tcW w:w="620" w:type="dxa"/>
            <w:vAlign w:val="bottom"/>
          </w:tcPr>
          <w:p>
            <w:pPr>
              <w:spacing w:after="0"/>
              <w:rPr>
                <w:sz w:val="15"/>
                <w:szCs w:val="15"/>
                <w:color w:val="auto"/>
              </w:rPr>
            </w:pPr>
          </w:p>
        </w:tc>
        <w:tc>
          <w:tcPr>
            <w:tcW w:w="18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2"/>
            <w:vMerge w:val="continue"/>
          </w:tcPr>
          <w:p>
            <w:pPr>
              <w:spacing w:after="0"/>
              <w:rPr>
                <w:sz w:val="21"/>
                <w:szCs w:val="21"/>
                <w:color w:val="auto"/>
              </w:rPr>
            </w:pPr>
          </w:p>
        </w:tc>
        <w:tc>
          <w:tcPr>
            <w:tcW w:w="62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980" w:type="dxa"/>
            <w:vAlign w:val="bottom"/>
            <w:tcBorders>
              <w:top w:val="single" w:sz="8" w:color="auto"/>
            </w:tcBorders>
            <w:shd w:val="clear" w:color="auto" w:fill="CCEEFF"/>
          </w:tcPr>
          <w:p>
            <w:pPr>
              <w:jc w:val="right"/>
              <w:ind w:right="1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against assets and liabilities</w:t>
            </w:r>
          </w:p>
        </w:tc>
        <w:tc>
          <w:tcPr>
            <w:tcW w:w="1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980" w:type="dxa"/>
            <w:vAlign w:val="bottom"/>
            <w:tcBorders>
              <w:top w:val="single" w:sz="8" w:color="auto"/>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postretirement benefit enhancements of $1 and $6 for the three and nine months ended September 30, 2026, respectively. These amounts are reflected as Charges against assets and liabilities within Employee-Related Costs in the preceding tables as the corresponding balance sheet amounts are reflected as an increase in postretirement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0" w:name="page51"/>
    <w:bookmarkEnd w:id="5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discusses certain financial measures on both a GAAP and a non-GAAP basis. The Company uses the non-GAAP financial measures described below internally in its budgeting process, to evaluate segment and overall operating performance and as a factor in determining compensation. The Company believes that these non-GAAP financial measures are useful in evaluating the Company’s underlying business performance and trends; however, this information should be considered as supplemental in nature and is not meant to be considered in isolation or as a substitute for the related financial information prepared in accordance with GAAP. In addition, these non-GAAP financial measures may not be the same as similar measures presented by other companies.</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sales growth (GAAP) and organic sales growth (Net sales growth excluding the impact of foreign exchange, acquisitions and divestments) (non-GAAP) are discussed in this Quarterly Report on Form 10-Q. Management believes the organic sales growth measure provides investors and analysts with useful supplemental information regarding the Company’s underlying sales trends by presenting sales growth excluding the external factor of foreign exchange, as well as the impact of acquisitions and divestments, as applicable. A reconciliation of organic sales growth to Net sales growth for the three and nine months ended September 30, 2026 is provided below.</w:t>
      </w:r>
    </w:p>
    <w:p>
      <w:pPr>
        <w:spacing w:after="0" w:line="21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Gross profit, Gross profit margin, Selling, general and administrative expenses, Selling, general and administrative expenses as a percentage of Net sales, Other (income) expense, net, Operating profit, Operating profit margin, Non-service related postretirement costs, Effective income tax rate, Net income attributable to Colgate-Palmolive Company and Earnings per share on a diluted basis are discussed in this Quarterly Report on Form 10-Q both on a GAAP basis and excluding, as applicable, charges resulting from the Strategic Growth and Productivity Program and the ERISA litigation matter and acquisition-related costs.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A reconciliation of each of these non-GAAP financial measures to the most directly comparable GAAP financial measures for the three and nine months ended September 30, 2026 and 2025 is presented within the applicable section of Results of Operations.</w:t>
      </w: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provide a quantitative reconciliation of Net sales growth to organic sales growth for the three and nine months ended September 30, 2026: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23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Net Sales Growth</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Acquisitions and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184"/>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340" w:type="dxa"/>
            <w:vAlign w:val="bottom"/>
            <w:vMerge w:val="continue"/>
          </w:tcPr>
          <w:p>
            <w:pPr>
              <w:spacing w:after="0"/>
              <w:rPr>
                <w:sz w:val="16"/>
                <w:szCs w:val="16"/>
                <w:color w:val="auto"/>
              </w:rPr>
            </w:pP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Exchange</w:t>
            </w:r>
          </w:p>
        </w:tc>
        <w:tc>
          <w:tcPr>
            <w:tcW w:w="1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Divestments</w:t>
            </w:r>
          </w:p>
        </w:tc>
        <w:tc>
          <w:tcPr>
            <w:tcW w:w="1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Sales Growth</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Impact</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3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12.5%</w:t>
            </w:r>
          </w:p>
        </w:tc>
        <w:tc>
          <w:tcPr>
            <w:tcW w:w="14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6.5%</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386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Europe, Middle East &amp; Africa</w:t>
            </w:r>
            <w:r>
              <w:rPr>
                <w:rFonts w:ascii="Times New Roman" w:cs="Times New Roman" w:eastAsia="Times New Roman" w:hAnsi="Times New Roman"/>
                <w:sz w:val="23"/>
                <w:szCs w:val="23"/>
                <w:color w:val="auto"/>
                <w:vertAlign w:val="superscript"/>
              </w:rPr>
              <w:t>(1)</w:t>
            </w:r>
          </w:p>
        </w:tc>
        <w:tc>
          <w:tcPr>
            <w:tcW w:w="2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1.4%</w:t>
            </w: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23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4.4%</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23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5.6%</w:t>
            </w: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(0.1)%</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3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4.6%</w:t>
            </w: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19"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has recast its historical geographic segment information to conform to the reporting structure effective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3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Net Sales Growth</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Acquisitions and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176"/>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380" w:type="dxa"/>
            <w:vAlign w:val="bottom"/>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Exchange</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Divestments</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Sales Growth</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Impact</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3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13.7%</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8.1%</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Europe, Middle East &amp; Africa</w:t>
            </w:r>
            <w:r>
              <w:rPr>
                <w:rFonts w:ascii="Times New Roman" w:cs="Times New Roman" w:eastAsia="Times New Roman" w:hAnsi="Times New Roman"/>
                <w:sz w:val="23"/>
                <w:szCs w:val="23"/>
                <w:color w:val="auto"/>
                <w:vertAlign w:val="superscript"/>
              </w:rPr>
              <w:t>(1)</w:t>
            </w:r>
          </w:p>
        </w:tc>
        <w:tc>
          <w:tcPr>
            <w:tcW w:w="2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2.8%</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238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5.7%</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3.3%</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238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6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2.8%</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p>
      <w:pPr>
        <w:spacing w:after="0" w:line="17" w:lineRule="exact"/>
        <w:rPr>
          <w:sz w:val="20"/>
          <w:szCs w:val="20"/>
          <w:color w:val="auto"/>
        </w:rPr>
      </w:pPr>
    </w:p>
    <w:p>
      <w:pPr>
        <w:ind w:left="140" w:hanging="132"/>
        <w:spacing w:after="0"/>
        <w:tabs>
          <w:tab w:leader="none" w:pos="1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has recast its historical geographic segment information to conform to the reporting structure effective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expects cash flow from operations and debt issuances will be sufficient to meet foreseeable business operating and recurring cash needs (including for debt service, dividends, capital expenditures, share repurchases and acquisitions). The Company believes its strong cash generation and financial position should continue to allow it broad access to global credit and capital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provided by operations increased 6% to $2,913 in the first nine months of 2026, compared to $2,745 in the first nine months of 2025, primarily due to higher net income, excluding non-cash items in the period, and changes in working capital. The Company’s working capital was (6.3%) as a percentage of Net sales as of September 30, 2026 as compared to (4.0%) as of September 30, 2025. The Company defines working capital as the difference between current assets (excluding Cash and cash equivalents and marketable securities, the latter of which is reported in Other current assets) and current liabilities (excluding short-term debt).</w:t>
      </w:r>
    </w:p>
    <w:p>
      <w:pPr>
        <w:spacing w:after="0" w:line="19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Investing activities used $381 of cash in the first nine months of 2026, compared to $714 used in the first nine months of 2025. Investing activities in the first nine months of 2025 included the Company’s acquisition of Care TopCo Pty Ltd, the owner of the Prime100 pet food business, as discussed in Note 4, Acquisitions to the Condensed Consolidated Financial Statements.</w:t>
      </w:r>
    </w:p>
    <w:p>
      <w:pPr>
        <w:spacing w:after="0" w:line="2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Capital expenditures were $400 in the first nine months of 2026 compared to $387 in the first nine months of 2025. Capital expenditures for 2026 are expected to be approximately 3.0% of Net sales. The Company continues to focus its capital spending on projects that are expected to yield high after-tax returns.</w:t>
      </w:r>
    </w:p>
    <w:p>
      <w:pPr>
        <w:spacing w:after="0" w:line="20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Financing activities used $2,272 of cash during the first nine months of 2026, compared to $1,895 used in the first nine months of 2025. The increase in cash used in financing activities was primarily due to higher principal payments of debt and share repurchases in the first nine months of 2026 and the receipt of proceeds from the issuance of debt in the first nine months of 2025, partially offset by an increase in short-term borrowing in the first nine months of 2026.</w:t>
      </w:r>
    </w:p>
    <w:p>
      <w:pPr>
        <w:spacing w:after="0" w:line="20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Total debt decreased to $7,716 as of September 30, 2026, compared to $7,988 as of December 31, 2025. During the second quarter of 2025, the Company redeemed at maturity $130 of 30-year Medium-Term Notes with a fixed coupon of 7.60%. During the third quarter of 2025, the Company redeemed at maturity $500 of three-year Senior Notes with a fixed coupon of 3.10%. During the first quarter of 2026, the Company redeemed at maturity $500 of three-year Senior Notes with a fixed coupon of 4.800% and €500 of seven-year Medium-Term Notes with a fixed coupon rate of 0.500%. The redemptions were financed with commercial paper borrowings.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2025, the Company issued $500 of five-year Senior Notes at a fixed coupon rate of 4.200%. The Company’s debt issuances support the Company’s capital structure objectives of funding its business and growth initiatives while minimizing its risk-adjusted cost of capital.</w:t>
      </w:r>
    </w:p>
    <w:p>
      <w:pPr>
        <w:spacing w:after="0" w:line="17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Domestic and foreign commercial paper outstanding was $1,037 and $147 as of September 30, 2026 and December 31, 2025, respectively. The average daily balances outstanding for commercial paper in the first nine months of 2026 and 2025 were $1,405 and $1,733, respectively. The Company classifies commercial paper and certain long-term debt that is subject to a put option as long-term debt when it has the intent and ability to refinance such obligations on a long-term basis, including, if necessary, by utilizing its available lines of credit.</w:t>
      </w:r>
    </w:p>
    <w:p>
      <w:pPr>
        <w:spacing w:after="0" w:line="2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Certain of the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 Refer to Note 6, Long Term Debt and Credit Facilities to the Consolidated Financial Statements contained in the Company’s Annual Report on Form 10-K for the year ended December 31, 2025 for further information about the Company’s long-term debt and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 increased the quarterly common stock dividend to $0.53 per share from $0.52 per share previously, effective in the second quarter of 2026.</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$239 during the first nine months of 2026 to $1,527 at September 30, 2026, compared to $1,288 at December 31, 2025, the majority of which ($1,515 and $1,234, respectively) was held by the Company’s foreign subsidiaries.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liquidity and capital resources, refer to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4" w:name="page55"/>
    <w:bookmarkEnd w:id="5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Share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uses market share information as a key indicator to monitor business health and performance. References to market share in this Quarterly Report on Form 10-Q are based on a combination of consumption and market share data provided by third-party vendors, primarily Nielsen, and internal estimates. All market share references represent the percentage of the dollar value of sales of our products, relative to all product sales in the category in the countries in which the Company competes and purchases data (excluding Venezuela from all periods).</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Market share data is subject to limitations on the availability of up-to-date information. In particular, market share data is currently not generally available for certain retail channels, such as eCommerce or certain discounters. The Company measures year-to-date market shares from January 1 of the relevant year through the most recent period for which market share data is available, which typically reflects a lag time of one or two months. The Company believes that the third-party vendors we use to provide data are reliable, but we have not verified the accuracy or completeness of the data or any assumptions underlying the data. In addition, market share information calculated by the Company may be different from market share information calculated by other companies due to differences in category definitions, the use of data from different countries, internal estimates and other factors.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5" w:name="page56"/>
    <w:bookmarkEnd w:id="5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(as that term is defined in the Private Securities Litigation Reform Act of 1995 or by the SEC in its rules, regulations and releases) that set forth anticipated results based on management’s current plans and assumptions. Such statements may relate, for example, to sales or volume growth, net selling price increases, organic sales growth, profit or profit margin levels, earnings per share levels, financial goals, category growth rates, the impact of foreign exchange, the impact of developments in global trade relations and tariffs, the impact of geopolitical events and tensions, wars and military conflicts, such as in Ukraine and the Middle East, cost-reduction plans (including the Strategic Growth and Productivity Program), tax rates, interest rates, new product introductions, digital capabilities, commercial investment levels, acquisitions, divestitures, share repurchases or legal or tax proceedings, among other matters. These statements are made on the basis of the Company’s views and assumptions as of October 30, 2026.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those statements. The Company cautions investors that any such forward-looking statements are not guarantees of future performance and that actual events or results may differ materially from those statements. Actual events or results may differ materially because of factors that affect international businesses and global macroeconomic and geopolitical conditions, as well as matters specific to the Company and the markets it serves, including the uncertain macroeconomic and political environment in different countries, including as a result of inflation and high interest rates and their effect on consumer sentiment and spending, foreign currency rate fluctuations, exchange controls, import restrictions, tariffs, sanctions, price or profit controls, labor relations, changes in foreign or domestic laws or regulations or their interpretation, political and fiscal developments, including developments in trade relations and the negotiation of trade agreements, tax and immigration policies, significant competition and a highly competitive omni-channel marketplace, including as a result of the growth of eCommerce and AI, a rapidly changing retail landscape and changes in the policies of retail trade customers, the ability to manage disruptions in our global supply chain and/or key office facilities, the ability to manage the availability and cost of raw and packaging materials and logistics costs, the ability to maintain or increase selling prices as needed, the emergence of alternative retail channels, the ability to develop innovative new products and successfully leverage AI and other new and emerging technologies, the ability to continue lowering costs and operate in an agile manner, the ability to successfully implement and realize the benefits of the Strategic Growth and Productivity Program, the ability to maintain the security of our information and operational technology systems from cybersecurity or data incidents, the ability to address the effects of climate change and implement our sustainability strategy and achieve our targets, the ability to complete acquisitions and divestitures as planned and successfully integrate acquired businesses, the ability to attract and retain key employees, the uncertainty of the outcome of legal proceedings, whether or not the Company believes they have merit, and the ability to address uncertain or unfavorable macroeconomic conditions, including inflation, disruptions in the credit markets and tax matters. For information about these and other factors that could impact the Company’s business and cause actual results to differ materially from forward-looking statements, refer to the Company’s filings with the SEC (including, but not limited to, the information set forth under the captions “Risk Factors” and “Cautionary Statement on Forward-Looking Statements” in the Company’s Annual Report on Form 10-K for the year ended December 31, 2025 and subsequent filings with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is no material change in the information reported under Part II, Item 7, “Managing Foreign Currency, Interest Rate, Commodity Price and Credit Risk Exposure” contained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Chairman of the Board, President and Chief Executive Officer and Chief Financial Officer, carried out an evaluation of the effectiveness of the design and operation of the Company’s disclosure controls and procedures as of September 30, 2026 (the “Evaluation”). Based upon the Evaluation, the Company’s Chairman of the Board, President and Chief Executive Officer and Chief Financial Officer concluded that the Company’s disclosure controls and procedures (as defined in Rule 13a-15(e) of the Securities Exchange Act of 1934) are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upgrading its enterprise IT system and transitioning its enterprise IT infrastructure to the cloud. This change has not had and is not expected to have a material impact on the Company’s internal control over financial reporting.</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as noted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u w:val="single" w:color="auto"/>
          <w:color w:val="auto"/>
        </w:rPr>
        <w:t>PART II.</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information regarding legal matters, refer to Note 10, Contingencies to the Condensed Consolidated Financial Statements contained in Part I of this Quarterly Report on Form 10-Q, which is incorporated herein by reference.</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Item 1A.</w:t>
        <w:tab/>
        <w:t>Risk Factors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“Risk Factors” in Part I, Item 1A of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58" w:name="page59"/>
    <w:bookmarkEnd w:id="58"/>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20, 2025, the Board authorized the repurchase of shares of the Company’s common stock having an aggregate purchase price of up to $5 billion under a new share repurchase program (the “2025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stock repurchase activity for the three months in the quarter ended September 30, 2026: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20" w:type="dxa"/>
            <w:vAlign w:val="bottom"/>
          </w:tcPr>
          <w:p>
            <w:pPr>
              <w:spacing w:after="0"/>
              <w:rPr>
                <w:sz w:val="17"/>
                <w:szCs w:val="17"/>
                <w:color w:val="auto"/>
              </w:rPr>
            </w:pP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center"/>
              <w:ind w:right="72"/>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vMerge w:val="restart"/>
          </w:tcPr>
          <w:p>
            <w:pPr>
              <w:spacing w:after="0"/>
              <w:rPr>
                <w:sz w:val="15"/>
                <w:szCs w:val="15"/>
                <w:color w:val="auto"/>
              </w:rPr>
            </w:pPr>
          </w:p>
        </w:tc>
        <w:tc>
          <w:tcPr>
            <w:tcW w:w="1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6"/>
                <w:szCs w:val="16"/>
                <w:b w:val="1"/>
                <w:bCs w:val="1"/>
                <w:color w:val="auto"/>
              </w:rPr>
              <w:t>Plans or Programs</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80" w:type="dxa"/>
            <w:vAlign w:val="bottom"/>
            <w:tcBorders>
              <w:bottom w:val="single" w:sz="8" w:color="auto"/>
            </w:tcBorders>
          </w:tcPr>
          <w:p>
            <w:pPr>
              <w:jc w:val="right"/>
              <w:ind w:right="390"/>
              <w:spacing w:after="0" w:line="230" w:lineRule="exact"/>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3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31, 2026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710,388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through 31, 2026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1,120,994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4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30, 2026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1,848,785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1,534,609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3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3,680,167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3,361,109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share repurchases under the 2025 Program and those associated with certain employee elections under the Company’s compensation and benefit programs.</w:t>
      </w:r>
    </w:p>
    <w:p>
      <w:pPr>
        <w:spacing w:after="0" w:line="10" w:lineRule="exact"/>
        <w:rPr>
          <w:rFonts w:ascii="Times New Roman" w:cs="Times New Roman" w:eastAsia="Times New Roman" w:hAnsi="Times New Roman"/>
          <w:sz w:val="19"/>
          <w:szCs w:val="19"/>
          <w:color w:val="auto"/>
          <w:vertAlign w:val="superscript"/>
        </w:rPr>
      </w:pPr>
    </w:p>
    <w:p>
      <w:pPr>
        <w:ind w:left="180" w:right="80" w:hanging="172"/>
        <w:spacing w:after="0" w:line="233" w:lineRule="auto"/>
        <w:tabs>
          <w:tab w:leader="none" w:pos="167"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difference between the total number of shares purchased and the total number of shares purchased as part of publicly announced plans or programs is 319,058 shares, which represents shares deemed surrendered to the Company to satisfy certain employee elections under the Company’s compensation and benefit programs.</w:t>
      </w:r>
    </w:p>
    <w:p>
      <w:pPr>
        <w:ind w:left="160" w:hanging="152"/>
        <w:spacing w:after="0" w:line="211" w:lineRule="auto"/>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approximate dollar value of shares that were available to be purchased under the publicly announced plans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5.</w:t>
        <w:tab/>
        <w:t>Other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Trading Plans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director or officer of the Company adopted, modified or terminated a “Rule 10b5-1 trading arrangement” or “non-Rule 10b5-1 trading arrangement,” as each term is defined in Item 408(a) of Regulation S-K, during the three months ended September 30, 2026.</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40" w:type="dxa"/>
            <w:vAlign w:val="bottom"/>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COLGATE-PALMOLIVE COMPANY</w:t>
            </w:r>
          </w:p>
        </w:tc>
      </w:tr>
      <w:tr>
        <w:trPr>
          <w:trHeight w:val="661"/>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4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10-A</w:t>
            </w:r>
          </w:p>
        </w:tc>
        <w:tc>
          <w:tcPr>
            <w:tcW w:w="980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Form of Nonqualified Option Award Agreement used in connection with grants under the Colgate-Palmolive Company 2019 Incentive</w:t>
            </w:r>
          </w:p>
        </w:tc>
      </w:tr>
      <w:tr>
        <w:trPr>
          <w:trHeight w:val="190"/>
        </w:trPr>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700" w:type="dxa"/>
            <w:vAlign w:val="bottom"/>
            <w:tcBorders>
              <w:top w:val="single" w:sz="8" w:color="0000FF"/>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 **</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70"/>
        </w:trPr>
        <w:tc>
          <w:tcPr>
            <w:tcW w:w="1420" w:type="dxa"/>
            <w:vAlign w:val="bottom"/>
            <w:tcBorders>
              <w:top w:val="single" w:sz="8" w:color="CCEEFF"/>
            </w:tcBorders>
            <w:gridSpan w:val="4"/>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14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10-B</w:t>
            </w:r>
          </w:p>
        </w:tc>
        <w:tc>
          <w:tcPr>
            <w:tcW w:w="980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Form of Restricted Stock Unit Award Agreement used in connection with grants under the Colgate-Palmolive Company 2019 Incentive</w:t>
            </w:r>
          </w:p>
        </w:tc>
      </w:tr>
      <w:tr>
        <w:trPr>
          <w:trHeight w:val="189"/>
        </w:trPr>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760" w:type="dxa"/>
            <w:vAlign w:val="bottom"/>
            <w:tcBorders>
              <w:top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 **</w:t>
            </w:r>
          </w:p>
        </w:tc>
        <w:tc>
          <w:tcPr>
            <w:tcW w:w="40" w:type="dxa"/>
            <w:vAlign w:val="bottom"/>
            <w:tcBorders>
              <w:top w:val="single" w:sz="8" w:color="CCEEFF"/>
            </w:tcBorders>
            <w:shd w:val="clear" w:color="auto" w:fill="CCEEFF"/>
          </w:tcPr>
          <w:p>
            <w:pPr>
              <w:spacing w:after="0"/>
              <w:rPr>
                <w:sz w:val="16"/>
                <w:szCs w:val="16"/>
                <w:color w:val="auto"/>
              </w:rPr>
            </w:pPr>
          </w:p>
        </w:tc>
      </w:tr>
      <w:tr>
        <w:trPr>
          <w:trHeight w:val="270"/>
        </w:trPr>
        <w:tc>
          <w:tcPr>
            <w:tcW w:w="1420" w:type="dxa"/>
            <w:vAlign w:val="bottom"/>
            <w:tcBorders>
              <w:top w:val="single" w:sz="8" w:color="CCEEFF"/>
            </w:tcBorders>
            <w:gridSpan w:val="4"/>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14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31-A</w:t>
            </w:r>
          </w:p>
        </w:tc>
        <w:tc>
          <w:tcPr>
            <w:tcW w:w="980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Certificate of the Chairman of the Board, President and Chief Executive Officer of Colgate-Palmolive Company pursuant to Rule 13a-</w:t>
            </w:r>
          </w:p>
        </w:tc>
      </w:tr>
      <w:tr>
        <w:trPr>
          <w:trHeight w:val="189"/>
        </w:trPr>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14(a) under the Securities Exchange Act of 1934.**</w:t>
            </w:r>
          </w:p>
        </w:tc>
        <w:tc>
          <w:tcPr>
            <w:tcW w:w="120" w:type="dxa"/>
            <w:vAlign w:val="bottom"/>
            <w:tcBorders>
              <w:top w:val="single" w:sz="8" w:color="CCEEFF"/>
            </w:tcBorders>
            <w:gridSpan w:val="3"/>
            <w:shd w:val="clear" w:color="auto" w:fill="CCEEFF"/>
          </w:tcPr>
          <w:p>
            <w:pPr>
              <w:spacing w:after="0"/>
              <w:rPr>
                <w:sz w:val="16"/>
                <w:szCs w:val="16"/>
                <w:color w:val="auto"/>
              </w:rPr>
            </w:pPr>
          </w:p>
        </w:tc>
      </w:tr>
      <w:tr>
        <w:trPr>
          <w:trHeight w:val="270"/>
        </w:trPr>
        <w:tc>
          <w:tcPr>
            <w:tcW w:w="1420" w:type="dxa"/>
            <w:vAlign w:val="bottom"/>
            <w:tcBorders>
              <w:top w:val="single" w:sz="8" w:color="CCEEFF"/>
            </w:tcBorders>
            <w:gridSpan w:val="4"/>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980" w:type="dxa"/>
            <w:vAlign w:val="bottom"/>
            <w:tcBorders>
              <w:top w:val="single" w:sz="8" w:color="0000FF"/>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142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31-B</w:t>
            </w:r>
          </w:p>
        </w:tc>
        <w:tc>
          <w:tcPr>
            <w:tcW w:w="980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Certificate of the Chief Financial Officer of Colgate-Palmolive Company pursuant to Rule 13a-14(a) under the Securities Exchange</w:t>
            </w:r>
          </w:p>
        </w:tc>
      </w:tr>
      <w:tr>
        <w:trPr>
          <w:trHeight w:val="169"/>
        </w:trPr>
        <w:tc>
          <w:tcPr>
            <w:tcW w:w="5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480" w:type="dxa"/>
            <w:vAlign w:val="bottom"/>
            <w:tcBorders>
              <w:top w:val="single" w:sz="8" w:color="0000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Act of 1934.**</w:t>
            </w:r>
          </w:p>
        </w:tc>
        <w:tc>
          <w:tcPr>
            <w:tcW w:w="320" w:type="dxa"/>
            <w:vAlign w:val="bottom"/>
            <w:tcBorders>
              <w:top w:val="single" w:sz="8" w:color="CCEEFF"/>
            </w:tcBorders>
            <w:gridSpan w:val="4"/>
            <w:shd w:val="clear" w:color="auto" w:fill="CCEEFF"/>
          </w:tcPr>
          <w:p>
            <w:pPr>
              <w:spacing w:after="0"/>
              <w:rPr>
                <w:sz w:val="14"/>
                <w:szCs w:val="14"/>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259" w:lineRule="exact"/>
        <w:rPr>
          <w:sz w:val="20"/>
          <w:szCs w:val="20"/>
          <w:color w:val="auto"/>
        </w:rPr>
      </w:pPr>
    </w:p>
    <w:p>
      <w:pPr>
        <w:ind w:left="1420" w:right="180" w:hanging="1394"/>
        <w:spacing w:after="0" w:line="250"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Certificate of the Chairman of the Board, President and Chief Executive Officer and the Chief Financial Officer of Colgate-Palmolive Company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15175" cy="617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617220"/>
                    </a:xfrm>
                    <a:prstGeom prst="rect">
                      <a:avLst/>
                    </a:prstGeom>
                    <a:noFill/>
                  </pic:spPr>
                </pic:pic>
              </a:graphicData>
            </a:graphic>
          </wp:anchor>
        </w:drawing>
      </w:r>
    </w:p>
    <w:p>
      <w:pPr>
        <w:spacing w:after="0" w:line="251" w:lineRule="exact"/>
        <w:rPr>
          <w:sz w:val="20"/>
          <w:szCs w:val="20"/>
          <w:color w:val="auto"/>
        </w:rPr>
      </w:pPr>
    </w:p>
    <w:p>
      <w:pPr>
        <w:ind w:left="1420" w:right="20" w:hanging="1394"/>
        <w:spacing w:after="0" w:line="223"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Colgate-Palmolive Company’s Quarterly Report on Form 10-Q for the period ended September 30, 2026, formatted in Inline eXtensible Business Reporting Language (Inline XBRL): (i) the Condensed Consolidated Statements of Income; (ii) the Condensed Consolidated Statements of Comprehensive Income; (iii) the Condensed Consolidated Balance Sheets; (iv) the Condensed Consolidated Statements of Cash Flows; (v) the Condensed Consolidated Statements of Changes in Shareholders’ Equity; and (vi) Notes to Condensed Consolidated Financial Statements.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0060" w:type="dxa"/>
            <w:vAlign w:val="bottom"/>
          </w:tcPr>
          <w:p>
            <w:pPr>
              <w:spacing w:after="0"/>
              <w:rPr>
                <w:sz w:val="24"/>
                <w:szCs w:val="24"/>
                <w:color w:val="auto"/>
              </w:rPr>
            </w:pPr>
          </w:p>
        </w:tc>
      </w:tr>
    </w:tbl>
    <w:p>
      <w:pPr>
        <w:ind w:right="5920" w:firstLine="8"/>
        <w:spacing w:after="0" w:line="512" w:lineRule="auto"/>
        <w:tabs>
          <w:tab w:leader="none" w:pos="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COLGATE-PALMOLIVE COMPANY</w:t>
            </w:r>
          </w:p>
        </w:tc>
        <w:tc>
          <w:tcPr>
            <w:tcW w:w="1380" w:type="dxa"/>
            <w:vAlign w:val="bottom"/>
          </w:tcPr>
          <w:p>
            <w:pPr>
              <w:spacing w:after="0"/>
              <w:rPr>
                <w:sz w:val="17"/>
                <w:szCs w:val="17"/>
                <w:color w:val="auto"/>
              </w:rPr>
            </w:pPr>
          </w:p>
        </w:tc>
      </w:tr>
      <w:tr>
        <w:trPr>
          <w:trHeight w:val="263"/>
        </w:trPr>
        <w:tc>
          <w:tcPr>
            <w:tcW w:w="33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311"/>
        </w:trPr>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c>
          <w:tcPr>
            <w:tcW w:w="2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 Noel Wallace</w:t>
            </w:r>
          </w:p>
        </w:tc>
      </w:tr>
      <w:tr>
        <w:trPr>
          <w:trHeight w:val="237"/>
        </w:trPr>
        <w:tc>
          <w:tcPr>
            <w:tcW w:w="3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7"/>
              </w:rPr>
              <w:t>Noel Wallace</w:t>
            </w:r>
          </w:p>
        </w:tc>
      </w:tr>
      <w:tr>
        <w:trPr>
          <w:trHeight w:val="189"/>
        </w:trPr>
        <w:tc>
          <w:tcPr>
            <w:tcW w:w="3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20" w:type="dxa"/>
            <w:vAlign w:val="bottom"/>
            <w:gridSpan w:val="2"/>
          </w:tcPr>
          <w:p>
            <w:pPr>
              <w:jc w:val="center"/>
              <w:ind w:right="1380"/>
              <w:spacing w:after="0" w:line="189" w:lineRule="exact"/>
              <w:rPr>
                <w:sz w:val="20"/>
                <w:szCs w:val="20"/>
                <w:color w:val="auto"/>
              </w:rPr>
            </w:pPr>
            <w:r>
              <w:rPr>
                <w:rFonts w:ascii="Times New Roman" w:cs="Times New Roman" w:eastAsia="Times New Roman" w:hAnsi="Times New Roman"/>
                <w:sz w:val="18"/>
                <w:szCs w:val="18"/>
                <w:color w:val="auto"/>
                <w:w w:val="99"/>
              </w:rPr>
              <w:t>Chairman of the Board, President and</w:t>
            </w:r>
          </w:p>
        </w:tc>
      </w:tr>
      <w:tr>
        <w:trPr>
          <w:trHeight w:val="234"/>
        </w:trPr>
        <w:tc>
          <w:tcPr>
            <w:tcW w:w="3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319"/>
        </w:trPr>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c>
          <w:tcPr>
            <w:tcW w:w="2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 Stanley J. Sutula III</w:t>
            </w:r>
          </w:p>
        </w:tc>
      </w:tr>
      <w:tr>
        <w:trPr>
          <w:trHeight w:val="237"/>
        </w:trPr>
        <w:tc>
          <w:tcPr>
            <w:tcW w:w="3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Stanley J. Sutula III</w:t>
            </w:r>
          </w:p>
        </w:tc>
      </w:tr>
      <w:tr>
        <w:trPr>
          <w:trHeight w:val="243"/>
        </w:trPr>
        <w:tc>
          <w:tcPr>
            <w:tcW w:w="33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310"/>
        </w:trPr>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1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c>
          <w:tcPr>
            <w:tcW w:w="2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 Gregory O. Malcolm</w:t>
            </w:r>
          </w:p>
        </w:tc>
      </w:tr>
      <w:tr>
        <w:trPr>
          <w:trHeight w:val="237"/>
        </w:trPr>
        <w:tc>
          <w:tcPr>
            <w:tcW w:w="3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Gregory O. Malcolm</w:t>
            </w:r>
          </w:p>
        </w:tc>
      </w:tr>
      <w:tr>
        <w:trPr>
          <w:trHeight w:val="243"/>
        </w:trPr>
        <w:tc>
          <w:tcPr>
            <w:tcW w:w="33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Executive Vice President, Controller</w:t>
            </w:r>
          </w:p>
        </w:tc>
      </w:tr>
      <w:tr>
        <w:trPr>
          <w:trHeight w:val="904"/>
        </w:trPr>
        <w:tc>
          <w:tcPr>
            <w:tcW w:w="3380" w:type="dxa"/>
            <w:vAlign w:val="bottom"/>
          </w:tcPr>
          <w:p>
            <w:pPr>
              <w:spacing w:after="0"/>
              <w:rPr>
                <w:sz w:val="24"/>
                <w:szCs w:val="24"/>
                <w:color w:val="auto"/>
              </w:rPr>
            </w:pPr>
          </w:p>
        </w:tc>
        <w:tc>
          <w:tcPr>
            <w:tcW w:w="358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61</w:t>
            </w:r>
          </w:p>
        </w:tc>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00"/>
          </w:cols>
          <w:pgMar w:left="320" w:top="1440" w:right="379" w:bottom="1440" w:gutter="0" w:footer="0" w:header="0"/>
        </w:sectPr>
      </w:pPr>
    </w:p>
    <w:bookmarkStart w:id="62" w:name="page63"/>
    <w:bookmarkEnd w:id="62"/>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COLGATE-PALMOLIVE COMPANY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2019 INCENTIVE COMPENSATION PLAN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NONQUALIFIED OPTION NOTICE OF GRANT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Name]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2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You have been granted an award consisting of the following Options in accordance with the attached Nonqualified Option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Options Granted: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 Exercise Price: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Dates: </w:t>
      </w:r>
      <w:r>
        <w:rPr>
          <w:rFonts w:ascii="Times New Roman" w:cs="Times New Roman" w:eastAsia="Times New Roman" w:hAnsi="Times New Roman"/>
          <w:sz w:val="20"/>
          <w:szCs w:val="20"/>
          <w:color w:val="auto"/>
        </w:rPr>
        <w:t>Subject to the terms and conditions of the Agreement, the Options will vest in equal installments as follows:</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first 1/3 installment of the Options will vest on ________ ___, 20___</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second 1/3 installment of the Options will vest on ________ ___, 20___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last 1/3 installment of the Options will vest on ________ ___, 20___</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Expiration Date: </w:t>
      </w:r>
      <w:r>
        <w:rPr>
          <w:rFonts w:ascii="Times New Roman" w:cs="Times New Roman" w:eastAsia="Times New Roman" w:hAnsi="Times New Roman"/>
          <w:sz w:val="20"/>
          <w:szCs w:val="20"/>
          <w:color w:val="auto"/>
        </w:rPr>
        <w:t>________ ___, 20___</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This award is made under the Colgate-Palmolive Company 2019 Incentive Compensation Plan (the “Plan”), and is subject to the terms, conditions, limitations and restrictions contained in or established pursuant to the Plan, the Agreement, all requirements of applicable law and, if applicable, the Colgate-Palmolive Company Clawback Policy. Capitalized terms used in this Notice of Grant that are not defined in this Notice of Grant have the meanings as used or defined in the Agreement.</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Copies of the Plan, the Agreement and the Company’s Prospectus relating to the Plan are available via Merrill’s Benefits Online at www.benefits.ml.com, or if you prefer to receive a paper copy, they are available from the Company at 300 Park Avenue, New York, New York 10022, Attention: Mr. Marty Collins, EVP, Total Rewards and Global Skin Health.</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Nonqualified Option Award Agreement</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COMPENSATION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NONQUALIFIED OPTION AWARD AGREEMENT</w:t>
      </w:r>
    </w:p>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NONQUALIFIED OPTION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effective as of the Grant Date indicated on the Nonqualified Option Notice of Grant delivered with this Agreement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is made and entered into by and between Colgate-Palmolive Company,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named on the Notice of Grant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Capitalized terms used and not otherwise defined in this Agreement will have the meanings set forth in the Colgate-Palmolive Company 2019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Applicable to Nonqualified Options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332"/>
        <w:spacing w:after="0" w:line="253" w:lineRule="auto"/>
        <w:tabs>
          <w:tab w:leader="none" w:pos="64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grants to you, on the terms and conditions set forth in this Agreement, the right and option to purchase the number of Shares indicated on the Notice of Grant at the exercise price per share indicated on the Notice of Grant (the “</w:t>
      </w:r>
      <w:r>
        <w:rPr>
          <w:rFonts w:ascii="Times New Roman" w:cs="Times New Roman" w:eastAsia="Times New Roman" w:hAnsi="Times New Roman"/>
          <w:sz w:val="20"/>
          <w:szCs w:val="20"/>
          <w:u w:val="single" w:color="auto"/>
          <w:color w:val="auto"/>
        </w:rPr>
        <w:t>Option Exercise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Price</w:t>
      </w:r>
      <w:r>
        <w:rPr>
          <w:rFonts w:ascii="Times New Roman" w:cs="Times New Roman" w:eastAsia="Times New Roman" w:hAnsi="Times New Roman"/>
          <w:sz w:val="20"/>
          <w:szCs w:val="20"/>
          <w:color w:val="auto"/>
        </w:rPr>
        <w:t>”), which was the Fair Market Value of a Share on the Grant Date. The right to purchase each such Share is referred to in this Agreement as an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All Options granted hereunder will be “</w:t>
      </w:r>
      <w:r>
        <w:rPr>
          <w:rFonts w:ascii="Times New Roman" w:cs="Times New Roman" w:eastAsia="Times New Roman" w:hAnsi="Times New Roman"/>
          <w:sz w:val="20"/>
          <w:szCs w:val="20"/>
          <w:u w:val="single" w:color="auto"/>
          <w:color w:val="auto"/>
        </w:rPr>
        <w:t>Nonqualified Options</w:t>
      </w:r>
      <w:r>
        <w:rPr>
          <w:rFonts w:ascii="Times New Roman" w:cs="Times New Roman" w:eastAsia="Times New Roman" w:hAnsi="Times New Roman"/>
          <w:sz w:val="20"/>
          <w:szCs w:val="20"/>
          <w:color w:val="auto"/>
        </w:rPr>
        <w:t>” as defined in the Plan. Your rights to the Options are subject to this Agreement (including the Notice of Grant) and the Plan (which is incorporated herein by reference with the same effect as if set forth herein in full) in addition to such other terms and conditions, if any, as may be imposed by law.</w:t>
      </w:r>
    </w:p>
    <w:p>
      <w:pPr>
        <w:spacing w:after="0" w:line="178" w:lineRule="exact"/>
        <w:rPr>
          <w:rFonts w:ascii="Times New Roman" w:cs="Times New Roman" w:eastAsia="Times New Roman" w:hAnsi="Times New Roman"/>
          <w:sz w:val="20"/>
          <w:szCs w:val="20"/>
          <w:color w:val="auto"/>
        </w:rPr>
      </w:pPr>
    </w:p>
    <w:p>
      <w:pPr>
        <w:jc w:val="both"/>
        <w:ind w:firstLine="332"/>
        <w:spacing w:after="0" w:line="253" w:lineRule="auto"/>
        <w:tabs>
          <w:tab w:leader="none" w:pos="64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Exercisability</w:t>
      </w:r>
      <w:r>
        <w:rPr>
          <w:rFonts w:ascii="Times New Roman" w:cs="Times New Roman" w:eastAsia="Times New Roman" w:hAnsi="Times New Roman"/>
          <w:sz w:val="20"/>
          <w:szCs w:val="20"/>
          <w:color w:val="auto"/>
        </w:rPr>
        <w:t>. The number of Options specified in the Notice of Grant will vest on each vesting date indicated on the Notice of Grant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Except as provided in Section A.4 below, the Options will vest only if you remain continuously employed by the Company or an Affiliate through each Vesting Date. Only vested Options may be exercised. The specified number of Options will be exercisable from the applicable Vesting Date through the expiration date set forth in the Notice of Grant (the “</w:t>
      </w:r>
      <w:r>
        <w:rPr>
          <w:rFonts w:ascii="Times New Roman" w:cs="Times New Roman" w:eastAsia="Times New Roman" w:hAnsi="Times New Roman"/>
          <w:sz w:val="20"/>
          <w:szCs w:val="20"/>
          <w:u w:val="single" w:color="auto"/>
          <w:color w:val="auto"/>
        </w:rPr>
        <w:t>Expiration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unless earlier terminated pursuant to the Plan or this Agreement. Once vested and exercisable, and until the Expiration Date or early termination, all or any portion of the Options may be exercised from time to time and at any time under procedures and policies that the Company establishes from time to time.</w:t>
      </w:r>
    </w:p>
    <w:p>
      <w:pPr>
        <w:spacing w:after="0" w:line="179"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Procedure</w:t>
      </w:r>
      <w:r>
        <w:rPr>
          <w:rFonts w:ascii="Times New Roman" w:cs="Times New Roman" w:eastAsia="Times New Roman" w:hAnsi="Times New Roman"/>
          <w:sz w:val="20"/>
          <w:szCs w:val="20"/>
          <w:color w:val="auto"/>
        </w:rPr>
        <w:t>. The Options must be exercised by executing and delivering to the Company or the Company’s appointed third-party Plan administrator, either directly or through an online internet transaction, a notice of exercise or by complying with such other procedures and policies as the Company or its appointed third-party Plan administrator may establish for notifying the Company. No Shares will be delivered pursuant to the exercise of the Options unless you have complied with your obligations under this Agreement and the Plan. Payment may be made by certified or bank check or wire transfer or, in the Company’s discretion, (i) by exchanging Shares you own (which are not subject to any pledge or other security interest); (ii) to the extent permitted by applicable law and subject to rules as established by the Company and its appointed third-party Plan administrator, by using Shares subject to the Options (a broker-assisted cashless exercise); (iii) by having the Company or its appointed third-party Plan administrator withhold Shares from the Shares otherwise deliverable upon the exercise of the Options; or (iv) by such other instrument or method as the Company may accept. The Options must be exercised by the close of the New York Stock Exchange on the last business day prior to the Expiration Date. If the Options have not been exercised by 4:00 pm (Eastern Time) on the last business day prior to the Expiration Date, the Company will have the right to exercise the Options on your behalf and to deliver the</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20"/>
          <w:szCs w:val="20"/>
          <w:color w:val="auto"/>
        </w:rPr>
        <w:t>resulting Shares, net of the Option Exercise Price and any applicable withholding taxes, to your limited brokerage account at the Company’s appointed third-party Plan administrator or, if you do not have such an account, to a shareholder account in your name with the Company’s transfer agent.</w:t>
      </w:r>
    </w:p>
    <w:p>
      <w:pPr>
        <w:spacing w:after="0" w:line="208" w:lineRule="exact"/>
        <w:rPr>
          <w:sz w:val="20"/>
          <w:szCs w:val="20"/>
          <w:color w:val="auto"/>
        </w:rPr>
      </w:pPr>
    </w:p>
    <w:p>
      <w:pPr>
        <w:jc w:val="both"/>
        <w:ind w:firstLine="332"/>
        <w:spacing w:after="0" w:line="254" w:lineRule="auto"/>
        <w:tabs>
          <w:tab w:leader="none" w:pos="64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Employment</w:t>
      </w:r>
      <w:r>
        <w:rPr>
          <w:rFonts w:ascii="Times New Roman" w:cs="Times New Roman" w:eastAsia="Times New Roman" w:hAnsi="Times New Roman"/>
          <w:sz w:val="20"/>
          <w:szCs w:val="20"/>
          <w:color w:val="auto"/>
        </w:rPr>
        <w:t>. The effect of a Termination of Employment on the Options is set forth in the Guidelines Regarding the Effect of Termination of Employment on Awards under the Plan adopted by the Committee on March 12, 2026, as such guidelines may be amended by the Committee from time to time. In addition, you are required to comply with the provisions regarding “Prohibited Conduct” set forth on Annex A to this Agreement. Annex A to this Agreement is part of this Agreement.</w:t>
      </w:r>
    </w:p>
    <w:p>
      <w:pPr>
        <w:jc w:val="both"/>
        <w:ind w:firstLine="8"/>
        <w:spacing w:after="0" w:line="256" w:lineRule="auto"/>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Prohibited Conduct</w:t>
      </w:r>
      <w:r>
        <w:rPr>
          <w:rFonts w:ascii="Times New Roman" w:cs="Times New Roman" w:eastAsia="Times New Roman" w:hAnsi="Times New Roman"/>
          <w:sz w:val="20"/>
          <w:szCs w:val="20"/>
          <w:color w:val="auto"/>
        </w:rPr>
        <w:t>. In consideration of the grant by the Company of the Options, which is in addition to and independent of your continued employment and any other compensation or benefits, access to new and additional Confidential Information (as defined in Annex A), and other good and valuable consideration, the receipt and sufficiency of which are hereby acknowledged, you and the Company, intending to be legally bound, agree to the provisions regarding “Prohibited Conduct” set forth on Annex A to this Agreement. Annex A to this Agreement is part of this Agreement.</w:t>
      </w:r>
    </w:p>
    <w:p>
      <w:pPr>
        <w:spacing w:after="0" w:line="17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and Conditions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332"/>
        <w:spacing w:after="0" w:line="269" w:lineRule="auto"/>
        <w:tabs>
          <w:tab w:leader="none" w:pos="6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Adjustment for Change in Common Stock</w:t>
      </w:r>
      <w:r>
        <w:rPr>
          <w:rFonts w:ascii="Times New Roman" w:cs="Times New Roman" w:eastAsia="Times New Roman" w:hAnsi="Times New Roman"/>
          <w:sz w:val="20"/>
          <w:szCs w:val="20"/>
          <w:color w:val="auto"/>
        </w:rPr>
        <w:t>. The treatment of the Options in the event of a Change in Control, a Corporate Transaction or a Share Change will be governed by the Plan.</w:t>
      </w:r>
    </w:p>
    <w:p>
      <w:pPr>
        <w:spacing w:after="0" w:line="199"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Appendix</w:t>
      </w:r>
      <w:r>
        <w:rPr>
          <w:rFonts w:ascii="Times New Roman" w:cs="Times New Roman" w:eastAsia="Times New Roman" w:hAnsi="Times New Roman"/>
          <w:sz w:val="20"/>
          <w:szCs w:val="20"/>
          <w:color w:val="auto"/>
        </w:rPr>
        <w:t>. If you work or reside outside the United States, the Options will be subject to the general non-United States terms and conditions and the special terms and conditions of your country set forth in the attached International Appendix and, to the extent there is any conflict between this Agreement and the International Appendix, the International Appendix will control. Moreover, if you relocate from the United States to one of the countries included in the International Appendix or you move between countries included in the International Appendix, the general non-United States terms and conditions and the special terms and conditions for such country will apply to you, to the extent the Company determines that the application of such terms and conditions is necessary or advisable. The International Appendix is part of this Agreement.</w:t>
      </w:r>
    </w:p>
    <w:p>
      <w:pPr>
        <w:spacing w:after="0" w:line="219" w:lineRule="exact"/>
        <w:rPr>
          <w:rFonts w:ascii="Times New Roman" w:cs="Times New Roman" w:eastAsia="Times New Roman" w:hAnsi="Times New Roman"/>
          <w:sz w:val="20"/>
          <w:szCs w:val="20"/>
          <w:color w:val="auto"/>
        </w:rPr>
      </w:pPr>
    </w:p>
    <w:p>
      <w:pPr>
        <w:jc w:val="both"/>
        <w:ind w:firstLine="332"/>
        <w:spacing w:after="0" w:line="252" w:lineRule="auto"/>
        <w:tabs>
          <w:tab w:leader="none" w:pos="6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Company under this Agreement will be addressed to the Chief Legal Officer and Secretary at the Company’s principal executive offices, and any notice to be given to you will be addressed to you at the address on file with the Company and/or the Company’s appointed third-party Plan administrator. Either the Company or you may designate a different address by written notice to the other. Written notice to said addresses will be effective to bind the Company and you and your representatives and beneficiaries. Any notice required or permitted hereunder will be (a) given in writing and will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referenced herein, or (b) delivered electronically (including any notices delivered by a third-party) and will be deemed effectively given upon such delivery.</w:t>
      </w:r>
    </w:p>
    <w:p>
      <w:pPr>
        <w:spacing w:after="0" w:line="202" w:lineRule="exact"/>
        <w:rPr>
          <w:rFonts w:ascii="Times New Roman" w:cs="Times New Roman" w:eastAsia="Times New Roman" w:hAnsi="Times New Roman"/>
          <w:sz w:val="20"/>
          <w:szCs w:val="20"/>
          <w:color w:val="auto"/>
        </w:rPr>
      </w:pPr>
    </w:p>
    <w:p>
      <w:pPr>
        <w:ind w:right="20" w:firstLine="332"/>
        <w:spacing w:after="0" w:line="283" w:lineRule="auto"/>
        <w:tabs>
          <w:tab w:leader="none" w:pos="6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inure to the benefit of and be binding upon the parties hereto and their respective heirs, beneficiaries, executors, administrators, representatives,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332"/>
        <w:spacing w:after="0" w:line="269" w:lineRule="auto"/>
        <w:tabs>
          <w:tab w:leader="none" w:pos="64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Contract of Employment; Agreement’s Survival</w:t>
      </w:r>
      <w:r>
        <w:rPr>
          <w:rFonts w:ascii="Times New Roman" w:cs="Times New Roman" w:eastAsia="Times New Roman" w:hAnsi="Times New Roman"/>
          <w:sz w:val="19"/>
          <w:szCs w:val="19"/>
          <w:color w:val="auto"/>
        </w:rPr>
        <w:t>. Nothing contained in this Agreement will affect the right of the Company or an Affiliate to terminate your employment at any time, with or without Cause, or will be deemed to create any rights to employment on your part. The rights and obligations arising under this Agreement are not intended to and do not affect the employment relationship that otherwise exists between the Company or an Affiliate and you, whether such employment relationship is at will or defined by an employment contract. Moreover, this Agreement is not intended to and does not amend any existing employment contract between the Company and you. To the extent there is a conflict between this Agreement and such an employment contract as it relates to the Options awarded hereunder, the terms of this Agreement will govern and take priority. This Agreement will survive the termination of your employment for any reason.</w:t>
      </w:r>
    </w:p>
    <w:p>
      <w:pPr>
        <w:spacing w:after="0" w:line="189" w:lineRule="exact"/>
        <w:rPr>
          <w:rFonts w:ascii="Times New Roman" w:cs="Times New Roman" w:eastAsia="Times New Roman" w:hAnsi="Times New Roman"/>
          <w:sz w:val="19"/>
          <w:szCs w:val="19"/>
          <w:color w:val="auto"/>
        </w:rPr>
      </w:pPr>
    </w:p>
    <w:p>
      <w:pPr>
        <w:jc w:val="both"/>
        <w:ind w:firstLine="332"/>
        <w:spacing w:after="0" w:line="25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Waiver</w:t>
      </w:r>
      <w:r>
        <w:rPr>
          <w:rFonts w:ascii="Times New Roman" w:cs="Times New Roman" w:eastAsia="Times New Roman" w:hAnsi="Times New Roman"/>
          <w:sz w:val="20"/>
          <w:szCs w:val="20"/>
          <w:color w:val="auto"/>
        </w:rPr>
        <w:t>. The terms and conditions of this Agreement may be amended unilaterally by the Company, provided, however, that (a) no such amendment will be adverse to you without your written consent (except (i) as provided in Section A.4 above or (ii) to the extent the Company reasonably determines that such amendment is necessary or appropriate to comply with applicable law, including the provisions of Code Section 409A, stock exchange rules or accounting rules); and (b) the amendment must be permitted under the Plan. The Company’s failure to insist upon strict compliance with any provision of this Agreement or failure to exercise, or any delay in exercising, any right, power or remedy under this Agreement will not be deemed to be a waiver of such provision or any such right, power or remedy which the Board, the Committee or the Company has under this Agreement.</w:t>
      </w:r>
    </w:p>
    <w:p>
      <w:pPr>
        <w:spacing w:after="0" w:line="179" w:lineRule="exact"/>
        <w:rPr>
          <w:rFonts w:ascii="Times New Roman" w:cs="Times New Roman" w:eastAsia="Times New Roman" w:hAnsi="Times New Roman"/>
          <w:sz w:val="20"/>
          <w:szCs w:val="20"/>
          <w:color w:val="auto"/>
        </w:rPr>
      </w:pPr>
    </w:p>
    <w:p>
      <w:pPr>
        <w:jc w:val="both"/>
        <w:ind w:firstLine="332"/>
        <w:spacing w:after="0" w:line="25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 or Reform by Court</w:t>
      </w:r>
      <w:r>
        <w:rPr>
          <w:rFonts w:ascii="Times New Roman" w:cs="Times New Roman" w:eastAsia="Times New Roman" w:hAnsi="Times New Roman"/>
          <w:sz w:val="20"/>
          <w:szCs w:val="20"/>
          <w:color w:val="auto"/>
        </w:rPr>
        <w:t>. If any provision of this Agreement is declared or found to be illegal, unenforceable or void, in whole or in part, then the parties will be relieved of their respective obligations arising under such provision only to the extent that it is illegal, unenforceable or void, it being the intent and agreement of the parties that this Agreement will be deemed amended by modifying such provision to the fullest extent necessary to make it legal and enforceable while preserving its intent or, if that is not possible, by substituting therefor another provision that is legal and enforceable and achieves the same objectives. If any provision of this Agreement is declared or found to be illegal, unenforceable or void to any extent, the validity or enforceability of the remaining provisions of this Agreement will not be affected.</w:t>
      </w:r>
    </w:p>
    <w:p>
      <w:pPr>
        <w:spacing w:after="0" w:line="206"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The Plan, the granting and vesting of the Options, and any obligations of the Company under the Plan, will be subject to all applicable federal, state and foreign country laws, rules and regulations, and to such approvals by any regulatory or governmental agency as may be required, and to any rules or regulations of any exchange on which the Shares are listed. The Company, in its discretion, may postpone the vesting or exercise of the Options, the issuance or delivery of Shares under this Award or any other action permitted under the Plan to enable the Company to complete any required action under any federal, state or foreign country law, rule or regulation. The Company may require that you make such representations and agreements and furnish such information as the Company deems appropriate to assure compliance with or exemption from the requirements of any securities exchange, any foreign, federal, state or local law, any governmental regulatory body, or any other applicable legal requirement, and Shares will not be issued unless and until you make such representations and agreements and furnish such information as the Company deems appropriate. The Company will not be obligated by virtue of any provision of the Plan to recognize the vesting or exercise of the Options or to otherwise sell or issue Shares in violation of any such laws, rules or regulations. Neither the Company nor its directors or officers will have any obligation or liability to you caused by any postponement of the vesting or exercise of the Options (or Shares issuable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66" w:name="page67"/>
    <w:bookmarkEnd w:id="66"/>
    <w:p>
      <w:pPr>
        <w:jc w:val="both"/>
        <w:ind w:right="160" w:firstLine="332"/>
        <w:spacing w:after="0" w:line="261"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Shareholder</w:t>
      </w:r>
      <w:r>
        <w:rPr>
          <w:rFonts w:ascii="Times New Roman" w:cs="Times New Roman" w:eastAsia="Times New Roman" w:hAnsi="Times New Roman"/>
          <w:sz w:val="20"/>
          <w:szCs w:val="20"/>
          <w:color w:val="auto"/>
        </w:rPr>
        <w:t>. Except as set forth in the Plan, neither you nor any person claiming under or through you will be, or will have any of the rights or privileges of, a holder of Shares with respect to the Options unless and until such Options are exercised and Shares are actually delivered to you.</w:t>
      </w:r>
    </w:p>
    <w:p>
      <w:pPr>
        <w:spacing w:after="0" w:line="208" w:lineRule="exact"/>
        <w:rPr>
          <w:rFonts w:ascii="Times New Roman" w:cs="Times New Roman" w:eastAsia="Times New Roman" w:hAnsi="Times New Roman"/>
          <w:sz w:val="20"/>
          <w:szCs w:val="20"/>
          <w:color w:val="auto"/>
        </w:rPr>
      </w:pPr>
    </w:p>
    <w:p>
      <w:pPr>
        <w:ind w:right="140" w:firstLine="332"/>
        <w:spacing w:after="0" w:line="251" w:lineRule="auto"/>
        <w:tabs>
          <w:tab w:leader="none" w:pos="63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In addition to the rights of the Company set forth in Paragraph 6 of Annex A, you agree, if the Company in its reasonable judgment determines that you owe the Company and/or any Affiliate any amount due to any loan, note, obligation or indebtedness, including but not limited to amounts owed to the Company pursuant to the Company’s tax equalization program or the Company’s policies with respect to travel and business expenses, and if you have not satisfied such obligation(s), then the Company may, to the extent permitted by applicable law (including without limitation Code Section 409A) instruct the Plan administrator to withhold and/or sell Shares acquired by you upon exercise of your Options, or the Company may deduct funds equal to the amount of such obligation from other funds due to you from the Company or an Affiliate.</w:t>
      </w:r>
    </w:p>
    <w:p>
      <w:pPr>
        <w:spacing w:after="0" w:line="192" w:lineRule="exact"/>
        <w:rPr>
          <w:rFonts w:ascii="Times New Roman" w:cs="Times New Roman" w:eastAsia="Times New Roman" w:hAnsi="Times New Roman"/>
          <w:sz w:val="20"/>
          <w:szCs w:val="20"/>
          <w:color w:val="auto"/>
        </w:rPr>
      </w:pPr>
    </w:p>
    <w:p>
      <w:pPr>
        <w:jc w:val="both"/>
        <w:ind w:firstLine="332"/>
        <w:spacing w:after="0" w:line="253" w:lineRule="auto"/>
        <w:tabs>
          <w:tab w:leader="none" w:pos="63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including this Agreement,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its appointed third-party Plan administrator. The Agreement if delivered by electronic means with electronic signatures will be treated in all manner and respects as an original executed document and will be considered to have the same binding legal effect as if it were the original signed versions thereof delivered in person.</w:t>
      </w:r>
    </w:p>
    <w:p>
      <w:pPr>
        <w:spacing w:after="0" w:line="188" w:lineRule="exact"/>
        <w:rPr>
          <w:rFonts w:ascii="Times New Roman" w:cs="Times New Roman" w:eastAsia="Times New Roman" w:hAnsi="Times New Roman"/>
          <w:sz w:val="20"/>
          <w:szCs w:val="20"/>
          <w:color w:val="auto"/>
        </w:rPr>
      </w:pPr>
    </w:p>
    <w:p>
      <w:pPr>
        <w:jc w:val="both"/>
        <w:ind w:firstLine="332"/>
        <w:spacing w:after="0" w:line="251" w:lineRule="auto"/>
        <w:tabs>
          <w:tab w:leader="none" w:pos="63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By accepting the Options, you explicitly and unambiguously consent to the collection, use, transfer, holding, storage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disclosure in electronic or other form, of your personal data as described in this Agreement and any other Award grant materials (“</w:t>
      </w:r>
      <w:r>
        <w:rPr>
          <w:rFonts w:ascii="Times New Roman" w:cs="Times New Roman" w:eastAsia="Times New Roman" w:hAnsi="Times New Roman"/>
          <w:sz w:val="20"/>
          <w:szCs w:val="20"/>
          <w:i w:val="1"/>
          <w:iCs w:val="1"/>
          <w:u w:val="single" w:color="auto"/>
          <w:color w:val="auto"/>
        </w:rPr>
        <w:t>Data</w:t>
      </w:r>
      <w:r>
        <w:rPr>
          <w:rFonts w:ascii="Times New Roman" w:cs="Times New Roman" w:eastAsia="Times New Roman" w:hAnsi="Times New Roman"/>
          <w:sz w:val="20"/>
          <w:szCs w:val="20"/>
          <w:i w:val="1"/>
          <w:iCs w:val="1"/>
          <w:color w:val="auto"/>
        </w:rPr>
        <w:t>”) by and among, as applicable, the Company and its Affiliates (collectively referred to in this Data Privacy section as the “</w:t>
      </w:r>
      <w:r>
        <w:rPr>
          <w:rFonts w:ascii="Times New Roman" w:cs="Times New Roman" w:eastAsia="Times New Roman" w:hAnsi="Times New Roman"/>
          <w:sz w:val="20"/>
          <w:szCs w:val="20"/>
          <w:i w:val="1"/>
          <w:iCs w:val="1"/>
          <w:u w:val="single" w:color="auto"/>
          <w:color w:val="auto"/>
        </w:rPr>
        <w:t>Company</w:t>
      </w:r>
      <w:r>
        <w:rPr>
          <w:rFonts w:ascii="Times New Roman" w:cs="Times New Roman" w:eastAsia="Times New Roman" w:hAnsi="Times New Roman"/>
          <w:sz w:val="20"/>
          <w:szCs w:val="20"/>
          <w:i w:val="1"/>
          <w:iCs w:val="1"/>
          <w:color w:val="auto"/>
        </w:rPr>
        <w:t>”) and certain third party service providers including, but not limited to, Plan brokers, financial advisers and legal counsel, engaged by the Company (collectively, the “</w:t>
      </w:r>
      <w:r>
        <w:rPr>
          <w:rFonts w:ascii="Times New Roman" w:cs="Times New Roman" w:eastAsia="Times New Roman" w:hAnsi="Times New Roman"/>
          <w:sz w:val="20"/>
          <w:szCs w:val="20"/>
          <w:i w:val="1"/>
          <w:iCs w:val="1"/>
          <w:u w:val="single" w:color="auto"/>
          <w:color w:val="auto"/>
        </w:rPr>
        <w:t>Providers</w:t>
      </w:r>
      <w:r>
        <w:rPr>
          <w:rFonts w:ascii="Times New Roman" w:cs="Times New Roman" w:eastAsia="Times New Roman" w:hAnsi="Times New Roman"/>
          <w:sz w:val="20"/>
          <w:szCs w:val="20"/>
          <w:i w:val="1"/>
          <w:iCs w:val="1"/>
          <w:color w:val="auto"/>
        </w:rPr>
        <w:t>”) for the purpose of implementing, administering and managing the Plan and complying with applicable laws, regulations and legislation.</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You understand that the Data which may be collected, used, transferred, held, stored or disclosed by the Company and the Providers consists of certain Data about you, including, but not limited to, your name, home address, telephone number, date of birth, social insurance number or other government identification number, salary, nationality, job title, any Shares or directorships held in the Company, details of all Options or any other entitlement to Shares awarded, canceled, exercised, vested, unvested or outstanding. The Data may also include information relating to your health (for example, where your employment terminates due to death or Disability). You further understand that such collection, use, transfer, holding, storage or disclosure of the Data may be necessary for the purpose of implementing, administering and managing the Plan and complying with applicable laws, regulations and legislation. You understand that the Company or the Providers may be located in the United States or elsewhere, and that the laws of the country in which the Company and the Providers collect, use, transfer, hold, store or disclose the Data may have different legal protections for the Data than your country. However, regardless of the location of the Data, the Company protects the Data through reasonable physical, technical and administrative safeguards and requires that the Providers also have such safeguards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You understand that you may, at any time, request a copy of your Data, request additional information about the storage and processing of Data, require any necessary amendments to Data or refuse or withdraw the consents herein, in any case without cost, by contacting your local human resources representative in writing. You understand that refusing or withdrawing your consent may affect your ability to participate in the Plan as more fully described below.</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You understand that you are providing the consent herein on a purely voluntary basis. If you do not consent, or if you later seek to revoke your consent, your employment status or service and career with your employer will not be adversely affected; the only adverse consequence of refusing or withdrawing your consent is that the Company would not be able to grant Options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both"/>
        <w:ind w:firstLine="332"/>
        <w:spacing w:after="0" w:line="253" w:lineRule="auto"/>
        <w:tabs>
          <w:tab w:leader="none" w:pos="63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Choice of Venue</w:t>
      </w:r>
      <w:r>
        <w:rPr>
          <w:rFonts w:ascii="Times New Roman" w:cs="Times New Roman" w:eastAsia="Times New Roman" w:hAnsi="Times New Roman"/>
          <w:sz w:val="20"/>
          <w:szCs w:val="20"/>
          <w:color w:val="auto"/>
        </w:rPr>
        <w:t>. This Agreement will be governed, construed and enforced in accordance with the laws of the State of Delaware and the United States, as applicable, without giving effect to conflict of law rules or principles thereof. Any action or proceeding seeking to enforce any provision of or based on any right arising out of this Agreement may be brought against you or the Company only in a federal or state court located in Delaware, and you and the Company each agree to submit yourself and your respective property to the exclusive jurisdiction of the foregoing courts with respect to such disputes.</w:t>
      </w:r>
    </w:p>
    <w:p>
      <w:pPr>
        <w:spacing w:after="0" w:line="218" w:lineRule="exact"/>
        <w:rPr>
          <w:rFonts w:ascii="Times New Roman" w:cs="Times New Roman" w:eastAsia="Times New Roman" w:hAnsi="Times New Roman"/>
          <w:sz w:val="20"/>
          <w:szCs w:val="20"/>
          <w:color w:val="auto"/>
        </w:rPr>
      </w:pPr>
    </w:p>
    <w:p>
      <w:pPr>
        <w:jc w:val="both"/>
        <w:ind w:firstLine="332"/>
        <w:spacing w:after="0" w:line="258" w:lineRule="auto"/>
        <w:tabs>
          <w:tab w:leader="none" w:pos="63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Incorporated</w:t>
      </w:r>
      <w:r>
        <w:rPr>
          <w:rFonts w:ascii="Times New Roman" w:cs="Times New Roman" w:eastAsia="Times New Roman" w:hAnsi="Times New Roman"/>
          <w:sz w:val="20"/>
          <w:szCs w:val="20"/>
          <w:color w:val="auto"/>
        </w:rPr>
        <w:t>. You accept the Options hereby granted subject to all the provisions of the Plan, which are incorporated into this Agreement, including the provisions that authorize the Committee to administer and interpret the Plan and which provide that the Committee’s decisions, determinations and interpretations with respect to the Plan are final and conclusive on all persons affected thereby. In the event of a conflict between this Agreement and the Plan, the Plan will prevail.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COLGATE-PALMOLIVE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168275</wp:posOffset>
            </wp:positionV>
            <wp:extent cx="1448435" cy="882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843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Authorized Signature</w:t>
      </w:r>
    </w:p>
    <w:p>
      <w:pPr>
        <w:spacing w:after="0" w:line="200" w:lineRule="exact"/>
        <w:rPr>
          <w:sz w:val="20"/>
          <w:szCs w:val="20"/>
          <w:color w:val="auto"/>
        </w:rPr>
      </w:pPr>
    </w:p>
    <w:p>
      <w:pPr>
        <w:spacing w:after="0" w:line="27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Using the Merrill Benefits Online system or other available means, you must accept the above Options in accordance with and subject to the terms and conditions of this Agreement and the Plan, acknowledge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 xml:space="preserve">that you have read this Agreement and the Plan, and agree to be bound by this Agreement, the Plan and the actions of the Committee. </w:t>
      </w:r>
      <w:r>
        <w:rPr>
          <w:rFonts w:ascii="Times New Roman" w:cs="Times New Roman" w:eastAsia="Times New Roman" w:hAnsi="Times New Roman"/>
          <w:sz w:val="20"/>
          <w:szCs w:val="20"/>
          <w:b w:val="1"/>
          <w:bCs w:val="1"/>
          <w:color w:val="auto"/>
        </w:rPr>
        <w:t>If you</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b w:val="1"/>
          <w:bCs w:val="1"/>
          <w:color w:val="auto"/>
        </w:rPr>
        <w:t>do not do so within 180 days of the Grant Date indicated on the Notice of Grant ([Date]), then you will not be able to exercise the Options and the Options will be forfeited.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Prohibited Conduct</w:t>
      </w:r>
    </w:p>
    <w:p>
      <w:pPr>
        <w:spacing w:after="0" w:line="24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5"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 corporation or other entity (i) controlled by, controlling or under common control with, the Company (including, without limitation, a corporation or other entity in which the Company has a 50% or more ownership interest) or (ii) designated by the Committee from time to time as such for purposes of the Plan.</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Products</w:t>
      </w:r>
      <w:r>
        <w:rPr>
          <w:rFonts w:ascii="Times New Roman" w:cs="Times New Roman" w:eastAsia="Times New Roman" w:hAnsi="Times New Roman"/>
          <w:sz w:val="20"/>
          <w:szCs w:val="20"/>
          <w:color w:val="auto"/>
        </w:rPr>
        <w:t>” means any product, composition, formulation, process, machine or service of any person or organization (other than the Company or an Affiliate) in existence, being researched or under development that competes with, or is intended to compete with, a product, composition, formulation, process, machine or service being researched or under development, produced, distributed, marketed, sold or licensed by the Company or an Affiliate (i) related to any aspect of any one or more of the Company’s or an Affiliate’s lines of business on which you have worked or provided services during the Relevant Period, or (ii) for which you have obtained, been provided or had access to confidential, proprietary and/or trade secret information of the Company or an Affiliate.</w:t>
      </w:r>
    </w:p>
    <w:p>
      <w:pPr>
        <w:spacing w:after="0" w:line="178" w:lineRule="exact"/>
        <w:rPr>
          <w:rFonts w:ascii="Times New Roman" w:cs="Times New Roman" w:eastAsia="Times New Roman" w:hAnsi="Times New Roman"/>
          <w:sz w:val="20"/>
          <w:szCs w:val="20"/>
          <w:color w:val="auto"/>
        </w:rPr>
      </w:pPr>
    </w:p>
    <w:p>
      <w:pPr>
        <w:jc w:val="both"/>
        <w:ind w:right="20" w:firstLine="656"/>
        <w:spacing w:after="0" w:line="310" w:lineRule="auto"/>
        <w:tabs>
          <w:tab w:leader="none" w:pos="1285"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Prohibited Geography</w:t>
      </w:r>
      <w:r>
        <w:rPr>
          <w:rFonts w:ascii="Times New Roman" w:cs="Times New Roman" w:eastAsia="Times New Roman" w:hAnsi="Times New Roman"/>
          <w:sz w:val="19"/>
          <w:szCs w:val="19"/>
          <w:color w:val="auto"/>
        </w:rPr>
        <w:t>” means any country, geography, territory, region or division with respect to which, during the Relevant Period, you have worked, provided services or had a material presence or influence for the Company or an Affiliate in any capacity.</w:t>
      </w:r>
    </w:p>
    <w:p>
      <w:pPr>
        <w:spacing w:after="0" w:line="124" w:lineRule="exact"/>
        <w:rPr>
          <w:rFonts w:ascii="Times New Roman" w:cs="Times New Roman" w:eastAsia="Times New Roman" w:hAnsi="Times New Roman"/>
          <w:sz w:val="19"/>
          <w:szCs w:val="19"/>
          <w:color w:val="auto"/>
        </w:rPr>
      </w:pPr>
    </w:p>
    <w:p>
      <w:pPr>
        <w:ind w:firstLine="656"/>
        <w:spacing w:after="0" w:line="283" w:lineRule="auto"/>
        <w:tabs>
          <w:tab w:leader="none" w:pos="129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Period</w:t>
      </w:r>
      <w:r>
        <w:rPr>
          <w:rFonts w:ascii="Times New Roman" w:cs="Times New Roman" w:eastAsia="Times New Roman" w:hAnsi="Times New Roman"/>
          <w:sz w:val="20"/>
          <w:szCs w:val="20"/>
          <w:color w:val="auto"/>
        </w:rPr>
        <w:t>” means the 24-month period immediately prior to the termination of your employment with the Company or an Affiliate for any reason.</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85"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Time</w:t>
      </w:r>
      <w:r>
        <w:rPr>
          <w:rFonts w:ascii="Times New Roman" w:cs="Times New Roman" w:eastAsia="Times New Roman" w:hAnsi="Times New Roman"/>
          <w:sz w:val="20"/>
          <w:szCs w:val="20"/>
          <w:color w:val="auto"/>
        </w:rPr>
        <w:t>” means the period during which you are employed by the Company or an Affiliate plus the 12-month period immediately following the termination of your employment with the Company or an Affiliate for any reason.</w:t>
      </w:r>
    </w:p>
    <w:p>
      <w:pPr>
        <w:spacing w:after="0" w:line="172" w:lineRule="exact"/>
        <w:rPr>
          <w:rFonts w:ascii="Times New Roman" w:cs="Times New Roman" w:eastAsia="Times New Roman" w:hAnsi="Times New Roman"/>
          <w:sz w:val="20"/>
          <w:szCs w:val="20"/>
          <w:color w:val="auto"/>
        </w:rPr>
      </w:pPr>
    </w:p>
    <w:p>
      <w:pPr>
        <w:ind w:right="20" w:firstLine="332"/>
        <w:spacing w:after="0" w:line="269"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Each of the covenants contained in Paragraphs 2(a)-(c) of this Annex A are collectively referred to as the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620" w:hanging="316"/>
        <w:spacing w:after="0" w:line="253" w:lineRule="auto"/>
        <w:tabs>
          <w:tab w:leader="none" w:pos="1616"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Restricted Time, you will not, without the prior written consent of the Company’s Chief Human Resources Officer or Chief Legal Officer, either directly or indirectly, for yourself or on behalf of or in conjunction with any other person, partnership, corporation or other entity, serve as a director, officer, employee, consultant, contractor or advisor of, provide services or advice in any capacity to, or acquire or hold any ownership interest in an entity that manufactures, markets, sells, develops, distributes or produces Covered Products in the Prohibited Geography, subject to applicable law. Notwithstanding the foregoing, you will not be considered to be in violation of this covenant solely by reason of owning, directly or indirectly, up to 5% in the aggregate of any class of securities of any corporation, partnership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A-1</w:t>
      </w:r>
    </w:p>
    <w:p>
      <w:pPr>
        <w:sectPr>
          <w:pgSz w:w="11900" w:h="16838" w:orient="portrait"/>
          <w:cols w:equalWidth="0" w:num="1">
            <w:col w:w="11240"/>
          </w:cols>
          <w:pgMar w:left="320" w:top="1409" w:right="339" w:bottom="1440" w:gutter="0" w:footer="0" w:header="0"/>
        </w:sectPr>
      </w:pPr>
    </w:p>
    <w:bookmarkStart w:id="70" w:name="page71"/>
    <w:bookmarkEnd w:id="70"/>
    <w:p>
      <w:pPr>
        <w:jc w:val="both"/>
        <w:ind w:left="1620" w:hanging="316"/>
        <w:spacing w:after="0" w:line="250" w:lineRule="auto"/>
        <w:tabs>
          <w:tab w:leader="none" w:pos="161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your employment with the Company or an Affiliate, you agree to disclose to your Human Resources Representative in writing, at least fourteen (14) days prior to your anticipated last day of employment with the Company or Affiliate, as applicable, the name of any new employer or other entity for whom you will be providing services or advice in any capacity and the scope of your role with that employer or other entity in order to allow the Company a reasonable period of time to determine whether that role is in breach of the Restrictive Covenants. You further agree that during the Restricted Time, you will provide notice to the Company as set forth in this subparagraph and pursuant to the Notices provision of Section C.3 of this Agreement, of any new employer or other new entity for whom you will be providing services or advice in any capacity, or new role with any employer or other entity, at least fourteen (14) days prior to assuming that new role to allow the Company a reasonable period of time to determine whether that role is in breach of the Restrictive Covenants.</w:t>
      </w:r>
    </w:p>
    <w:p>
      <w:pPr>
        <w:spacing w:after="0" w:line="19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Non-Interference</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1620" w:hanging="316"/>
        <w:spacing w:after="0" w:line="266" w:lineRule="auto"/>
        <w:tabs>
          <w:tab w:leader="none" w:pos="1616"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Covered Products, during the Restricted Time, except on behalf of the Company or an Affiliate, you will not solicit or sell to (or attempt to solicit or sell to) any customer or prospective customer, or any supplier, licensee or other business relation of the Company or an Affiliate (each, a “</w:t>
      </w:r>
      <w:r>
        <w:rPr>
          <w:rFonts w:ascii="Times New Roman" w:cs="Times New Roman" w:eastAsia="Times New Roman" w:hAnsi="Times New Roman"/>
          <w:sz w:val="19"/>
          <w:szCs w:val="19"/>
          <w:u w:val="single" w:color="auto"/>
          <w:color w:val="auto"/>
        </w:rPr>
        <w:t>Restricted Third Party</w:t>
      </w:r>
      <w:r>
        <w:rPr>
          <w:rFonts w:ascii="Times New Roman" w:cs="Times New Roman" w:eastAsia="Times New Roman" w:hAnsi="Times New Roman"/>
          <w:sz w:val="19"/>
          <w:szCs w:val="19"/>
          <w:color w:val="auto"/>
        </w:rPr>
        <w:t>”) (a) for which, during your employment with the Company or an Affiliate, you, directly or indirectly, engaged or had responsibility on behalf of the Company or an Affiliate during the Relevant Period, or (b) for which you have obtained, been provided, or had access to confidential information of the Restricted Third Party, or (c) for which you have obtained, been provided or had access to Confidential Information (as such term is defined in Paragraph 3 below) pertaining to the Restricted Third Party.</w:t>
      </w:r>
    </w:p>
    <w:p>
      <w:pPr>
        <w:spacing w:after="0" w:line="208" w:lineRule="exact"/>
        <w:rPr>
          <w:sz w:val="20"/>
          <w:szCs w:val="20"/>
          <w:color w:val="auto"/>
        </w:rPr>
      </w:pPr>
    </w:p>
    <w:p>
      <w:pPr>
        <w:jc w:val="both"/>
        <w:ind w:left="1620" w:hanging="316"/>
        <w:spacing w:after="0" w:line="261" w:lineRule="auto"/>
        <w:tabs>
          <w:tab w:leader="none" w:pos="161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during the Restricted Time, you will not induce (or attempt to induce) any Restricted Third Party to cease or diminish doing business with the Company or an Affiliate or in any way interfere with the relationship between any Restricted Third Party and the Company or an Affiliate.</w:t>
      </w:r>
    </w:p>
    <w:p>
      <w:pPr>
        <w:spacing w:after="0" w:line="194" w:lineRule="exact"/>
        <w:rPr>
          <w:rFonts w:ascii="Times New Roman" w:cs="Times New Roman" w:eastAsia="Times New Roman" w:hAnsi="Times New Roman"/>
          <w:sz w:val="20"/>
          <w:szCs w:val="20"/>
          <w:color w:val="auto"/>
        </w:rPr>
      </w:pPr>
    </w:p>
    <w:p>
      <w:pPr>
        <w:jc w:val="both"/>
        <w:ind w:left="1620" w:hanging="316"/>
        <w:spacing w:after="0" w:line="268" w:lineRule="auto"/>
        <w:tabs>
          <w:tab w:leader="none" w:pos="16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2(b), a “</w:t>
      </w:r>
      <w:r>
        <w:rPr>
          <w:rFonts w:ascii="Times New Roman" w:cs="Times New Roman" w:eastAsia="Times New Roman" w:hAnsi="Times New Roman"/>
          <w:sz w:val="20"/>
          <w:szCs w:val="20"/>
          <w:u w:val="single" w:color="auto"/>
          <w:color w:val="auto"/>
        </w:rPr>
        <w:t>prospective customer</w:t>
      </w:r>
      <w:r>
        <w:rPr>
          <w:rFonts w:ascii="Times New Roman" w:cs="Times New Roman" w:eastAsia="Times New Roman" w:hAnsi="Times New Roman"/>
          <w:sz w:val="20"/>
          <w:szCs w:val="20"/>
          <w:color w:val="auto"/>
        </w:rPr>
        <w:t>” of the Company or an Affiliate is a person or entity with whom the Company or an Affiliate was engaged in communications or negotiations to provide services with respect to Covered Products or to sell Covered Products during the Relevant Period.</w:t>
      </w:r>
    </w:p>
    <w:p>
      <w:pPr>
        <w:spacing w:after="0" w:line="188" w:lineRule="exact"/>
        <w:rPr>
          <w:rFonts w:ascii="Times New Roman" w:cs="Times New Roman" w:eastAsia="Times New Roman" w:hAnsi="Times New Roman"/>
          <w:sz w:val="20"/>
          <w:szCs w:val="20"/>
          <w:color w:val="auto"/>
        </w:rPr>
      </w:pPr>
    </w:p>
    <w:p>
      <w:pPr>
        <w:ind w:right="20" w:firstLine="656"/>
        <w:spacing w:after="0" w:line="283" w:lineRule="auto"/>
        <w:tabs>
          <w:tab w:leader="none" w:pos="128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Non-Solicitation</w:t>
      </w:r>
      <w:r>
        <w:rPr>
          <w:rFonts w:ascii="Times New Roman" w:cs="Times New Roman" w:eastAsia="Times New Roman" w:hAnsi="Times New Roman"/>
          <w:sz w:val="20"/>
          <w:szCs w:val="20"/>
          <w:color w:val="auto"/>
        </w:rPr>
        <w:t>. During the Restricted Time, you will not in any way, including through another person acting on your recommendation, suggestion, identification or advice:</w:t>
      </w:r>
    </w:p>
    <w:p>
      <w:pPr>
        <w:spacing w:after="0" w:line="146"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employ or retain any person who is employed by the Company or an Affiliate; or</w:t>
      </w:r>
    </w:p>
    <w:p>
      <w:pPr>
        <w:spacing w:after="0" w:line="256"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617"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induce or attempt to induce (A) any such person to terminate his or her employment with the Company or an Affiliate or to accept any position with any other person or entity, or (B) any prospective employee not to establish an employment relationship with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A-2</w:t>
      </w:r>
    </w:p>
    <w:p>
      <w:pPr>
        <w:sectPr>
          <w:pgSz w:w="11900" w:h="16838" w:orient="portrait"/>
          <w:cols w:equalWidth="0" w:num="1">
            <w:col w:w="11240"/>
          </w:cols>
          <w:pgMar w:left="320" w:top="1413" w:right="339" w:bottom="1440" w:gutter="0" w:footer="0" w:header="0"/>
        </w:sectPr>
      </w:pPr>
    </w:p>
    <w:bookmarkStart w:id="71" w:name="page72"/>
    <w:bookmarkEnd w:id="71"/>
    <w:p>
      <w:pPr>
        <w:ind w:left="1620" w:hanging="316"/>
        <w:spacing w:after="0" w:line="258" w:lineRule="auto"/>
        <w:tabs>
          <w:tab w:leader="none" w:pos="1618"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2(c), a “</w:t>
      </w:r>
      <w:r>
        <w:rPr>
          <w:rFonts w:ascii="Times New Roman" w:cs="Times New Roman" w:eastAsia="Times New Roman" w:hAnsi="Times New Roman"/>
          <w:sz w:val="20"/>
          <w:szCs w:val="20"/>
          <w:u w:val="single" w:color="auto"/>
          <w:color w:val="auto"/>
        </w:rPr>
        <w:t>prospective employee</w:t>
      </w:r>
      <w:r>
        <w:rPr>
          <w:rFonts w:ascii="Times New Roman" w:cs="Times New Roman" w:eastAsia="Times New Roman" w:hAnsi="Times New Roman"/>
          <w:sz w:val="20"/>
          <w:szCs w:val="20"/>
          <w:color w:val="auto"/>
        </w:rPr>
        <w:t>” is a person who was in communications or negotiations to become an employee of the Company or an Affiliate during the Relevant Period.</w:t>
      </w:r>
    </w:p>
    <w:p>
      <w:pPr>
        <w:ind w:left="660" w:hanging="328"/>
        <w:spacing w:after="0"/>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w:t>
      </w:r>
    </w:p>
    <w:p>
      <w:pPr>
        <w:spacing w:after="0" w:line="234"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your employment and thereafter, you will hold in strictest confidence, and not use, except for the benefit of the Company and/or its Affiliates, or disclose to any person or entity without written authorization of an officer of the Company, any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except under a non-disclosure agreement duly authorized and executed by the Company.</w:t>
      </w:r>
    </w:p>
    <w:p>
      <w:pPr>
        <w:spacing w:after="0" w:line="208"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includes nonpublic information pertaining to the Company and/or its Affiliates and may include, but not be limited to, its and/or their strategic plans, advertising and marketing plans, sales plans, formulae, processes, methods, machines, ideas, concepts, new product developments, proposed launches, discontinuance of existing products, product and consumer testing data, sales and market research, technology research and development, budgets, profit and loss data, raw material costs, identity of suppliers, customer lists, customer information, improvements, inventions, personnel information (including information regarding other employees’ skills, performance, and discipline), financial or business information and data, and associations with other organizations that the Company has not previously made public. “Confidential Information” also includes any third party’s information received by the Company and/or its Affiliates subject to an obligation, understanding or business practice of confidentiality, including information subject to confidentiality obligations under applicable law or contract.</w:t>
      </w:r>
    </w:p>
    <w:p>
      <w:pPr>
        <w:spacing w:after="0" w:line="219"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does not include (i) information that can be shown by written evidence to be in the public domain at the time of disclosure by you or that is publicized or otherwise becomes part of the public domain through no fault of your own or the wrongdoing of a third party</w:t>
      </w:r>
      <w:r>
        <w:rPr>
          <w:rFonts w:ascii="Times New Roman" w:cs="Times New Roman" w:eastAsia="Times New Roman" w:hAnsi="Times New Roman"/>
          <w:sz w:val="21"/>
          <w:szCs w:val="21"/>
          <w:color w:val="auto"/>
        </w:rPr>
        <w:t>; or (ii) information</w:t>
      </w:r>
      <w:r>
        <w:rPr>
          <w:rFonts w:ascii="Times New Roman" w:cs="Times New Roman" w:eastAsia="Times New Roman" w:hAnsi="Times New Roman"/>
          <w:sz w:val="20"/>
          <w:szCs w:val="20"/>
          <w:color w:val="auto"/>
        </w:rPr>
        <w:t xml:space="preserve"> that has become publicly known and made generally available through no act of yours or of others who were under confidentiality obligations as to the item or items involved or improvements or new versions thereof. In the event that you do not know whether specific information is regarded as Confidential Information hereunder, you will inquire from the Company and obtain the Company’s input thereon before treating the information as something other than Confidential Information.</w:t>
      </w:r>
    </w:p>
    <w:p>
      <w:pPr>
        <w:spacing w:after="0" w:line="20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hereby notified that under the U.S. Defend Trade Secrets Act of 2016: (1) no individual will be held criminally or civilly liable under U.S. federal or state trade secret law for the disclosure of a trade secret (as defined in the U.S. Economic Espionage Act) that: (A) is made in confidence to a U.S.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or arbitration proceeding, if the individual files any document containing the trade secret under seal, and does not disclose the trade secret, except as permitted by order in that proceeding.</w:t>
      </w:r>
    </w:p>
    <w:p>
      <w:pPr>
        <w:spacing w:after="0" w:line="20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is intended to or shall preclude you from: (i) providing truthful testimony on any non-privileged subject matter in response to a valid subpoena, court order, regulatory request or other judicial, administrative or legal process or otherwise as required by law; (ii) reporting, without any prior authorization from, or notification to, the Company, any good faith allegation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A-3</w:t>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20"/>
          <w:szCs w:val="20"/>
          <w:color w:val="auto"/>
        </w:rPr>
        <w:t>of unlawful employment practices, criminal conduct or possible violations of law or regulation to any appropriate federal, state, or local governmental or regulatory agency, entity or official(s), including but not limited to the U.S. Securities and Exchange Commission, the U.S. National Labor Relations Board, the U.S. Equal Employment Opportunity Commission, or any analogous state or local government agencies (collectively, “</w:t>
      </w:r>
      <w:r>
        <w:rPr>
          <w:rFonts w:ascii="Times New Roman" w:cs="Times New Roman" w:eastAsia="Times New Roman" w:hAnsi="Times New Roman"/>
          <w:sz w:val="20"/>
          <w:szCs w:val="20"/>
          <w:u w:val="single" w:color="auto"/>
          <w:color w:val="auto"/>
        </w:rPr>
        <w:t>Governmental Authorities</w:t>
      </w:r>
      <w:r>
        <w:rPr>
          <w:rFonts w:ascii="Times New Roman" w:cs="Times New Roman" w:eastAsia="Times New Roman" w:hAnsi="Times New Roman"/>
          <w:sz w:val="20"/>
          <w:szCs w:val="20"/>
          <w:color w:val="auto"/>
        </w:rPr>
        <w:t>”), or making other disclosures that are protected under the whistleblower provisions of applicable federal, state, or local law or regulation; (iii) participating in any investigation or proceeding by any Governmental Authority; and (iv) discussing workplace issues including wages or other terms and conditions of employment or otherwise exercising your rights under Section 7 of the U.S. National Labor Relations Act.</w:t>
      </w:r>
    </w:p>
    <w:p>
      <w:pPr>
        <w:spacing w:after="0" w:line="179" w:lineRule="exact"/>
        <w:rPr>
          <w:sz w:val="20"/>
          <w:szCs w:val="20"/>
          <w:color w:val="auto"/>
        </w:rPr>
      </w:pPr>
    </w:p>
    <w:p>
      <w:pPr>
        <w:jc w:val="both"/>
        <w:ind w:firstLine="332"/>
        <w:spacing w:after="0" w:line="253" w:lineRule="auto"/>
        <w:tabs>
          <w:tab w:leader="none" w:pos="64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You agree that upon termination of your employment, you will promptly return to the Company all of its property, including, but not limited to, car stock, computers, mobile devices, tablets, cell phones, files, documents, identification cards, credit cards, keys, equipment, software and data, however stored. To the extent you have any Company material or information stored on any mobile device or other personal laptop, cloud, email, thumb or hard drive or other personal device, you agree to return all such material and information to your human resources representative and to permanently delete any copies of such material and information, subject to any litigation preservation directive that may be applicable to you.</w:t>
      </w:r>
    </w:p>
    <w:p>
      <w:pPr>
        <w:spacing w:after="0" w:line="21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Reasonableness of Provisions</w:t>
      </w:r>
      <w:r>
        <w:rPr>
          <w:rFonts w:ascii="Times New Roman" w:cs="Times New Roman" w:eastAsia="Times New Roman" w:hAnsi="Times New Roman"/>
          <w:sz w:val="20"/>
          <w:szCs w:val="20"/>
          <w:color w:val="auto"/>
        </w:rPr>
        <w:t>. You agree that: (a) the terms and provisions of this Agreement (including Annex A) are reasonable;</w:t>
      </w:r>
    </w:p>
    <w:p>
      <w:pPr>
        <w:spacing w:after="0" w:line="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consideration provided by the Company under this Agreement is not illusory; (c) the Restrictive Covenants are necessary and</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reasonable for the protection of the legitimate business interests, trade secrets, Confidential Information and goodwill of the Company and its Affiliates; and (d) the consideration given by the Company under this Agreement gives rise to the Company’s interest in the Restrictive Covenants set forth in this Annex A.</w:t>
      </w:r>
    </w:p>
    <w:p>
      <w:pPr>
        <w:spacing w:after="0" w:line="216" w:lineRule="exact"/>
        <w:rPr>
          <w:sz w:val="20"/>
          <w:szCs w:val="20"/>
          <w:color w:val="auto"/>
        </w:rPr>
      </w:pPr>
    </w:p>
    <w:p>
      <w:pPr>
        <w:jc w:val="both"/>
        <w:ind w:firstLine="332"/>
        <w:spacing w:after="0" w:line="264" w:lineRule="auto"/>
        <w:tabs>
          <w:tab w:leader="none" w:pos="64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Repayment and Forfeiture</w:t>
      </w:r>
      <w:r>
        <w:rPr>
          <w:rFonts w:ascii="Times New Roman" w:cs="Times New Roman" w:eastAsia="Times New Roman" w:hAnsi="Times New Roman"/>
          <w:sz w:val="19"/>
          <w:szCs w:val="19"/>
          <w:color w:val="auto"/>
        </w:rPr>
        <w:t>. You specifically recognize and affirm that each of the Restrictive Covenants is a material and important term of this Agreement which has induced the Company to provide for the award of the Options granted hereunder. You further agree that in the event that the Company determines that you have breached or attempted or threatened to breach any of the Restrictive Covenants, in addition to any other remedies and monetary damages (which may not be ascertainable) at law or in equity the Company may have available to it, including but not limited to the equitable relief described below in Paragraph 7, the Company may in its sole discretion: (a) cancel any</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25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unvested Options granted hereunder, including Options that would otherwise have vested in connection with Retirement and (ii) vested but unexercised Options granted hereunder; and (b) require you to pay to the Company the Proceeds (as defined below) of any Options that were exercised at any time during the Look Back Period (as defined below). You will pay to the Company the Proceeds in cash upon demand, and the Company will be entitled to set-off against any amount due to you from the Company or an Affiliate, including but not limited to any bonus payments, the amount of any such Proceeds, to the extent that such set-off is not inconsistent with Code Section 409A or other applicable law. For purposes of this Paragraph 6, the term “</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means the difference between the Option Exercise Price and the greater of (x) the Fair Market Value of the Shares on the date of exercise or (y) the amount realized upon the disposition of the underlying Shares. For avoidance of doubt, the amount of Proceeds shall be determined without regard to any taxes or amounts that may be deducted with respect to the exercise, sale or other disposition of the Option and/or the sale of the underlying Shares. The “</w:t>
      </w:r>
      <w:r>
        <w:rPr>
          <w:rFonts w:ascii="Times New Roman" w:cs="Times New Roman" w:eastAsia="Times New Roman" w:hAnsi="Times New Roman"/>
          <w:sz w:val="20"/>
          <w:szCs w:val="20"/>
          <w:u w:val="single" w:color="auto"/>
          <w:color w:val="auto"/>
        </w:rPr>
        <w:t>Look Back Period</w:t>
      </w:r>
      <w:r>
        <w:rPr>
          <w:rFonts w:ascii="Times New Roman" w:cs="Times New Roman" w:eastAsia="Times New Roman" w:hAnsi="Times New Roman"/>
          <w:sz w:val="20"/>
          <w:szCs w:val="20"/>
          <w:color w:val="auto"/>
        </w:rPr>
        <w:t>” means the longer of the following two periods: (i) the 12-month period immediately preceding the date on which the Company becomes aware of a breach or attempted or threatened breach of any of the Restrictive Covenants; or (ii) the six-month period immediately prior to the date of the termination of your employment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A-4</w:t>
      </w:r>
    </w:p>
    <w:p>
      <w:pPr>
        <w:sectPr>
          <w:pgSz w:w="11900" w:h="16838" w:orient="portrait"/>
          <w:cols w:equalWidth="0" w:num="1">
            <w:col w:w="11240"/>
          </w:cols>
          <w:pgMar w:left="320" w:top="1413"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20"/>
          <w:szCs w:val="20"/>
          <w:color w:val="auto"/>
        </w:rPr>
        <w:t>Company or an Affiliate through the date on which the Company became aware of the breach or attempted or threatened breach, provided the date on which the Company becomes aware of the breach or attempted or threatened breach is no later than 12 months after the date of termination.</w:t>
      </w:r>
    </w:p>
    <w:p>
      <w:pPr>
        <w:spacing w:after="0" w:line="208" w:lineRule="exact"/>
        <w:rPr>
          <w:sz w:val="20"/>
          <w:szCs w:val="20"/>
          <w:color w:val="auto"/>
        </w:rPr>
      </w:pPr>
    </w:p>
    <w:p>
      <w:pPr>
        <w:jc w:val="both"/>
        <w:ind w:firstLine="332"/>
        <w:spacing w:after="0" w:line="250"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You acknowledge that the services you provide to the Company and/or its Affiliate(s) are of a unique nature and that it would be difficult to replace such services. You also acknowledge that a breach of any of the Restrictive Covenants contained in this Agreement may cause irreparable damage to the Company and its Affiliate(s), the exact amount of which would be difficult to ascertain, and that any remedies, including the repayment and forfeiture remedies set forth in Paragraph 6 of this Annex A and any remedies permissible under law, for any such breach or threatened breach would be inadequate. Accordingly, in the event the Company determines that you have breached or attempted or threatened to breach any of the Restrictive Covenants, in addition to any other remedies at law or in equity the Company may have available to it, it is agreed that the Company will be entitled to institute and prosecute proceedings in any court, tribunal or arbitrator of competent jurisdiction for specific performance, a temporary restraining order or preliminary injunction (without the necessity of (i) proving irreparable harm, (ii) establishing that monetary damages are inadequate or (iii) posting any bond with respect thereto) prohibiting such breach or attempted or threatened breach by proving only the existence of such breach or attempted or threatened breach.</w:t>
      </w:r>
    </w:p>
    <w:p>
      <w:pPr>
        <w:spacing w:after="0" w:line="213" w:lineRule="exact"/>
        <w:rPr>
          <w:rFonts w:ascii="Times New Roman" w:cs="Times New Roman" w:eastAsia="Times New Roman" w:hAnsi="Times New Roman"/>
          <w:sz w:val="20"/>
          <w:szCs w:val="20"/>
          <w:color w:val="auto"/>
        </w:rPr>
      </w:pPr>
    </w:p>
    <w:p>
      <w:pPr>
        <w:ind w:right="20" w:firstLine="332"/>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Restrictive Period</w:t>
      </w:r>
      <w:r>
        <w:rPr>
          <w:rFonts w:ascii="Times New Roman" w:cs="Times New Roman" w:eastAsia="Times New Roman" w:hAnsi="Times New Roman"/>
          <w:sz w:val="20"/>
          <w:szCs w:val="20"/>
          <w:color w:val="auto"/>
        </w:rPr>
        <w:t>. You agree that the Restricted Time will be extended by any time during which you are in violation of any of the Restrictive Covenants.</w:t>
      </w:r>
    </w:p>
    <w:p>
      <w:pPr>
        <w:spacing w:after="0" w:line="186"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w:t>
      </w:r>
      <w:r>
        <w:rPr>
          <w:rFonts w:ascii="Times New Roman" w:cs="Times New Roman" w:eastAsia="Times New Roman" w:hAnsi="Times New Roman"/>
          <w:sz w:val="20"/>
          <w:szCs w:val="20"/>
          <w:color w:val="auto"/>
        </w:rPr>
        <w:t>. You and the Company agree that it is our mutual intent to enter into a valid and enforceable agreement. You acknowledge that you are hereby advised in writing, and have had a reasonable opportunity, to consult with counsel of your choice before accepting this Agreement, and that you were provided a copy of this Agreement, including this Annex A, before the deadline for accepting it. You and the Company acknowledge the reasonableness of the Restrictive Covenants, including the reasonableness of the geographic area, duration as to time and scope of activity restrained. You further acknowledge that your skills are such that you can be gainfully employed in noncompetitive employment and that the agreement not to compete will not prevent you from earning a living. You acknowledge that the remedies set forth in this Agreement are not the exclusive remedies and the Company may avail itself of other remedies at law or in equity in the event you breach any of the Restrictive Covenants.</w:t>
      </w:r>
    </w:p>
    <w:p>
      <w:pPr>
        <w:spacing w:after="0" w:line="208" w:lineRule="exact"/>
        <w:rPr>
          <w:rFonts w:ascii="Times New Roman" w:cs="Times New Roman" w:eastAsia="Times New Roman" w:hAnsi="Times New Roman"/>
          <w:sz w:val="20"/>
          <w:szCs w:val="20"/>
          <w:color w:val="auto"/>
        </w:rPr>
      </w:pPr>
    </w:p>
    <w:p>
      <w:pPr>
        <w:jc w:val="both"/>
        <w:ind w:firstLine="332"/>
        <w:spacing w:after="0" w:line="258" w:lineRule="auto"/>
        <w:tabs>
          <w:tab w:leader="none" w:pos="63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Independent</w:t>
      </w:r>
      <w:r>
        <w:rPr>
          <w:rFonts w:ascii="Times New Roman" w:cs="Times New Roman" w:eastAsia="Times New Roman" w:hAnsi="Times New Roman"/>
          <w:sz w:val="20"/>
          <w:szCs w:val="20"/>
          <w:color w:val="auto"/>
        </w:rPr>
        <w:t>. The Restrictive Covenants will be construed as an agreement independent of any other agreement, including any employee benefit agreement, and independent of any other provision of this Agreement, and the existence of any claim or cause of action you bring against the Company or an Affiliate, whether predicated upon this Agreement or otherwise, will not constitute a defense to the enforcement by the Company of such covenants.</w:t>
      </w:r>
    </w:p>
    <w:p>
      <w:pPr>
        <w:spacing w:after="0" w:line="212" w:lineRule="exact"/>
        <w:rPr>
          <w:rFonts w:ascii="Times New Roman" w:cs="Times New Roman" w:eastAsia="Times New Roman" w:hAnsi="Times New Roman"/>
          <w:sz w:val="20"/>
          <w:szCs w:val="20"/>
          <w:color w:val="auto"/>
        </w:rPr>
      </w:pPr>
    </w:p>
    <w:p>
      <w:pPr>
        <w:jc w:val="both"/>
        <w:ind w:firstLine="332"/>
        <w:spacing w:after="0" w:line="261" w:lineRule="auto"/>
        <w:tabs>
          <w:tab w:leader="none" w:pos="63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Subsequent Employer</w:t>
      </w:r>
      <w:r>
        <w:rPr>
          <w:rFonts w:ascii="Times New Roman" w:cs="Times New Roman" w:eastAsia="Times New Roman" w:hAnsi="Times New Roman"/>
          <w:sz w:val="20"/>
          <w:szCs w:val="20"/>
          <w:color w:val="auto"/>
        </w:rPr>
        <w:t>. You agree that the Company and/or Affiliate may notify any person or entity hiring or engaging you, or considering hiring or engaging you, to serve as a director, officer, employee, consultant, contractor or advisor, or to provide services or advice in any capacity, of the existence and provisions of this Agreement.</w:t>
      </w:r>
    </w:p>
    <w:p>
      <w:pPr>
        <w:spacing w:after="0" w:line="194" w:lineRule="exact"/>
        <w:rPr>
          <w:rFonts w:ascii="Times New Roman" w:cs="Times New Roman" w:eastAsia="Times New Roman" w:hAnsi="Times New Roman"/>
          <w:sz w:val="20"/>
          <w:szCs w:val="20"/>
          <w:color w:val="auto"/>
        </w:rPr>
      </w:pPr>
    </w:p>
    <w:p>
      <w:pPr>
        <w:jc w:val="both"/>
        <w:ind w:firstLine="332"/>
        <w:spacing w:after="0" w:line="258" w:lineRule="auto"/>
        <w:tabs>
          <w:tab w:leader="none" w:pos="63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THE RESTRICTIVE COVENANTS IN PARAGRAPH 2 OF THIS ANNEX A ARE SUBJECT TO THE SEVERABILITY OR REFORM BY COURT PROVISIONS SET FORTH IN SECTION C.7 OF THE AGREEMENT. TO THE EXTENT PERMISSIBLE, THE SCOPE OF THESE RESTRICTIONS SHOULD BE SUBJECT TO REFORMULATION BY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A-5</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0"/>
          <w:szCs w:val="20"/>
          <w:color w:val="auto"/>
        </w:rPr>
        <w:t>JURISDICTION IN ORDER TO PROTECT THE LEGITIMATE BUSINESS INTERESTS, TRADE SECRETS, AND CONFIDENTIAL INFORMATION OF THE COMPANY AND ITS AFFILIATES TO THE FULLEST EXTENT PERMITTED BY LAW. EACH OF PARAGRAPHS 2(a), 2(b) AND 2(c) OF THIS ANNEX A IS A SEPARATE AND SEVERABLE COVENANT, AND A PARTICULAR COVENANT WILL NOT APPLY TO, AND WILL NOT BE ENFORCED BY THE COMPANY WITH RESPECT TO, POST– TERMINATION ACTIVITY IN ANY JURISDICTION IN WHICH THAT COVENANT IS NOT ENFORCEABLE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Annex A-6</w:t>
      </w:r>
    </w:p>
    <w:p>
      <w:pPr>
        <w:sectPr>
          <w:pgSz w:w="11900" w:h="16838" w:orient="portrait"/>
          <w:cols w:equalWidth="0" w:num="1">
            <w:col w:w="11240"/>
          </w:cols>
          <w:pgMar w:left="320" w:top="1413" w:right="339" w:bottom="1440" w:gutter="0" w:footer="0" w:header="0"/>
        </w:sectPr>
      </w:pPr>
    </w:p>
    <w:bookmarkStart w:id="75" w:name="page76"/>
    <w:bookmarkEnd w:id="75"/>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COLGATE-PALMOLIVE COMPANY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2019 INCENTIVE COMPENSATION PLAN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NOTICE OF GRANT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Name]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34"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You have been granted an award consisting of the following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in accordance with the attached Restricted Stock Unit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RSUs Granted: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Dates: </w:t>
      </w:r>
      <w:r>
        <w:rPr>
          <w:rFonts w:ascii="Times New Roman" w:cs="Times New Roman" w:eastAsia="Times New Roman" w:hAnsi="Times New Roman"/>
          <w:sz w:val="20"/>
          <w:szCs w:val="20"/>
          <w:color w:val="auto"/>
        </w:rPr>
        <w:t>Subject to the terms and conditions of the Agreement, the RSUs will vest in equal installments as follows:</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first 1/3 installment of the RSUs will vest on ________ ___, 20___</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second 1/3 installment of the RSUs will vest on ________ ___, 20___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last 1/3 installment of the RSUs will vest on ________ ___, 20___</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 As soon as administratively practicable following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hanging="1"/>
        <w:spacing w:after="0" w:line="258" w:lineRule="auto"/>
        <w:rPr>
          <w:sz w:val="20"/>
          <w:szCs w:val="20"/>
          <w:color w:val="auto"/>
        </w:rPr>
      </w:pPr>
      <w:r>
        <w:rPr>
          <w:rFonts w:ascii="Times New Roman" w:cs="Times New Roman" w:eastAsia="Times New Roman" w:hAnsi="Times New Roman"/>
          <w:sz w:val="20"/>
          <w:szCs w:val="20"/>
          <w:color w:val="auto"/>
        </w:rPr>
        <w:t>This award is made under the Colgate-Palmolive Company 2019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is subject to the terms, conditions, limitations and restrictions contained in or established pursuant to the Plan, the Agreement, all requirements of applicable law and, if applicable, the Colgate-Palmolive Company Clawback Policy. Capitalized terms used in this Notice of Grant that are not defined in this Notice of Grant have the meanings as used or defined in the Agreement.</w:t>
      </w:r>
    </w:p>
    <w:p>
      <w:pPr>
        <w:spacing w:after="0" w:line="21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Copies of the Plan, the Agreement and the Company’s Prospectus relating to the Plan are available via Merrill’s Benefits Online at www.benefits.ml.com, or if you prefer to receive a paper copy, they are available from the Company at 300 Park Avenue, New York, New York 10022, Attention: Mr. Marty Collins, EVP, Total Rewards and Global Skin Health.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Restricted Stock Unit Award Agreement</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COMPENSATION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w:t>
      </w:r>
    </w:p>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RESTRICTED STOCK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effective as of the Grant Date indicated on the Restricted Stock Unit Notice of Grant delivered with this Agreement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is made and entered into by and between Colgate-Palmolive Company,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named on the Notice of Grant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Capitalized terms used and not otherwise defined in this Agreement will have the meanings set forth in the Colgate-Palmolive Company 2019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Applicable to RSUs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332"/>
        <w:spacing w:after="0" w:line="258" w:lineRule="auto"/>
        <w:tabs>
          <w:tab w:leader="none" w:pos="64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grants to you, on the terms and conditions set forth in this Agreement, the number of RSUs indicated on the Notice of Grant. Each RSU is equivalent to one Share. Your rights to the RSUs are subject to this Agreement (including the Notice of Grant) and the Plan (which is incorporated herein by reference with the same effect as if set forth herein in full) in addition to such other terms and conditions, if any, as may be imposed by law.</w:t>
      </w:r>
    </w:p>
    <w:p>
      <w:pPr>
        <w:spacing w:after="0" w:line="185" w:lineRule="exact"/>
        <w:rPr>
          <w:rFonts w:ascii="Times New Roman" w:cs="Times New Roman" w:eastAsia="Times New Roman" w:hAnsi="Times New Roman"/>
          <w:sz w:val="20"/>
          <w:szCs w:val="20"/>
          <w:color w:val="auto"/>
        </w:rPr>
      </w:pPr>
    </w:p>
    <w:p>
      <w:pPr>
        <w:jc w:val="both"/>
        <w:ind w:firstLine="332"/>
        <w:spacing w:after="0" w:line="254" w:lineRule="auto"/>
        <w:tabs>
          <w:tab w:leader="none" w:pos="64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The number of RSUs specified in the Notice of Grant (plus the RSUs representing any accrued Dividend Equivalents will vest on the vesting date indicated on the Notice of Grant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Except as provided in Section A.5 below, the RSUs will vest only if you remain continuously employed by the Company or an Affiliate during the entire period commencing on the Grant Date and ending on the Vesting Date (such period, the “</w:t>
      </w:r>
      <w:r>
        <w:rPr>
          <w:rFonts w:ascii="Times New Roman" w:cs="Times New Roman" w:eastAsia="Times New Roman" w:hAnsi="Times New Roman"/>
          <w:sz w:val="20"/>
          <w:szCs w:val="20"/>
          <w:u w:val="single" w:color="auto"/>
          <w:color w:val="auto"/>
        </w:rPr>
        <w:t>Vesting Period</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332"/>
        <w:spacing w:after="0" w:line="281" w:lineRule="auto"/>
        <w:tabs>
          <w:tab w:leader="none" w:pos="648"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To the extent the RSUs (including RSUs representing any accrued Dividend Equivalents) vest, the Company will settle the vested RSUs in Shares with you receiving one Share for each RSU as soon as administratively practicable following the Vesting Date. No Shares will be delivered upon the vesting of the RSUs unless you have complied with your obligations under this Agreement and the Plan.</w:t>
      </w:r>
    </w:p>
    <w:p>
      <w:pPr>
        <w:spacing w:after="0" w:line="164" w:lineRule="exact"/>
        <w:rPr>
          <w:rFonts w:ascii="Times New Roman" w:cs="Times New Roman" w:eastAsia="Times New Roman" w:hAnsi="Times New Roman"/>
          <w:sz w:val="19"/>
          <w:szCs w:val="19"/>
          <w:color w:val="auto"/>
        </w:rPr>
      </w:pPr>
    </w:p>
    <w:p>
      <w:pPr>
        <w:jc w:val="both"/>
        <w:ind w:firstLine="332"/>
        <w:spacing w:after="0" w:line="261" w:lineRule="auto"/>
        <w:tabs>
          <w:tab w:leader="none" w:pos="64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During the Vesting Period, Dividend Equivalents will be credited on the RSUs in the form of additional RSUs. At the end of the Vesting Period, the RSUs plus RSUs representing any accrued Dividend Equivalents will be paid to you in the form of Shares. Any fractional Shares accrued from Dividend Equivalents, if applicable, will be paid in cash.</w:t>
      </w:r>
    </w:p>
    <w:p>
      <w:pPr>
        <w:spacing w:after="0" w:line="208" w:lineRule="exact"/>
        <w:rPr>
          <w:rFonts w:ascii="Times New Roman" w:cs="Times New Roman" w:eastAsia="Times New Roman" w:hAnsi="Times New Roman"/>
          <w:sz w:val="20"/>
          <w:szCs w:val="20"/>
          <w:color w:val="auto"/>
        </w:rPr>
      </w:pPr>
    </w:p>
    <w:p>
      <w:pPr>
        <w:jc w:val="both"/>
        <w:ind w:firstLine="332"/>
        <w:spacing w:after="0" w:line="254" w:lineRule="auto"/>
        <w:tabs>
          <w:tab w:leader="none" w:pos="64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Employment</w:t>
      </w:r>
      <w:r>
        <w:rPr>
          <w:rFonts w:ascii="Times New Roman" w:cs="Times New Roman" w:eastAsia="Times New Roman" w:hAnsi="Times New Roman"/>
          <w:sz w:val="20"/>
          <w:szCs w:val="20"/>
          <w:color w:val="auto"/>
        </w:rPr>
        <w:t>. The effect of a Termination of Employment on the RSUs is set forth in the Guidelines Regarding the Effect of Termination of Employment on Awards under the Plan adopted by the Committee on March 12, 2026, as such guidelines may be amended by the Committee from time to time. In addition, you are required to comply with the provisions regarding “Prohibited Conduct” set forth on Annex A to this Agreement. Annex A to this Agreement is part of this Agreement.</w:t>
      </w:r>
    </w:p>
    <w:p>
      <w:pPr>
        <w:spacing w:after="0" w:line="214" w:lineRule="exact"/>
        <w:rPr>
          <w:rFonts w:ascii="Times New Roman" w:cs="Times New Roman" w:eastAsia="Times New Roman" w:hAnsi="Times New Roman"/>
          <w:sz w:val="20"/>
          <w:szCs w:val="20"/>
          <w:color w:val="auto"/>
        </w:rPr>
      </w:pPr>
    </w:p>
    <w:p>
      <w:pPr>
        <w:jc w:val="both"/>
        <w:ind w:firstLine="8"/>
        <w:spacing w:after="0" w:line="261" w:lineRule="auto"/>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Prohibited Conduct</w:t>
      </w:r>
      <w:r>
        <w:rPr>
          <w:rFonts w:ascii="Times New Roman" w:cs="Times New Roman" w:eastAsia="Times New Roman" w:hAnsi="Times New Roman"/>
          <w:sz w:val="20"/>
          <w:szCs w:val="20"/>
          <w:color w:val="auto"/>
        </w:rPr>
        <w:t>. In consideration of the grant by the Company of the RSUs, which is in addition to and independent of your continued employment and any other compensation or benefits, access to new and additional Confidential Information (as defined in Annex A), and other good and valuable consideration, the receipt and sufficiency of which are hereby acknowledged, you and the</w:t>
      </w:r>
    </w:p>
    <w:p>
      <w:pPr>
        <w:sectPr>
          <w:pgSz w:w="11900" w:h="16838" w:orient="portrait"/>
          <w:cols w:equalWidth="0" w:num="1">
            <w:col w:w="11240"/>
          </w:cols>
          <w:pgMar w:left="320" w:top="144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color w:val="auto"/>
        </w:rPr>
        <w:t>Company, intending to be legally bound, agree to the provisions regarding “Prohibited Conduct” set forth on Annex A to this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to this Agreement is part of this Agreement.</w:t>
      </w:r>
    </w:p>
    <w:p>
      <w:pPr>
        <w:spacing w:after="0" w:line="200"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and Conditions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20" w:firstLine="332"/>
        <w:spacing w:after="0" w:line="269" w:lineRule="auto"/>
        <w:tabs>
          <w:tab w:leader="none" w:pos="6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Adjustment for Change in Common Stock</w:t>
      </w:r>
      <w:r>
        <w:rPr>
          <w:rFonts w:ascii="Times New Roman" w:cs="Times New Roman" w:eastAsia="Times New Roman" w:hAnsi="Times New Roman"/>
          <w:sz w:val="20"/>
          <w:szCs w:val="20"/>
          <w:color w:val="auto"/>
        </w:rPr>
        <w:t>. The treatment of the RSUs in the event of a Change in Control, a Corporate Transaction or a Share Change will be governed by the Plan.</w:t>
      </w:r>
    </w:p>
    <w:p>
      <w:pPr>
        <w:spacing w:after="0" w:line="199" w:lineRule="exact"/>
        <w:rPr>
          <w:rFonts w:ascii="Times New Roman" w:cs="Times New Roman" w:eastAsia="Times New Roman" w:hAnsi="Times New Roman"/>
          <w:sz w:val="20"/>
          <w:szCs w:val="20"/>
          <w:color w:val="auto"/>
        </w:rPr>
      </w:pPr>
    </w:p>
    <w:p>
      <w:pPr>
        <w:jc w:val="both"/>
        <w:ind w:firstLine="332"/>
        <w:spacing w:after="0" w:line="253" w:lineRule="auto"/>
        <w:tabs>
          <w:tab w:leader="none" w:pos="6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Appendix</w:t>
      </w:r>
      <w:r>
        <w:rPr>
          <w:rFonts w:ascii="Times New Roman" w:cs="Times New Roman" w:eastAsia="Times New Roman" w:hAnsi="Times New Roman"/>
          <w:sz w:val="20"/>
          <w:szCs w:val="20"/>
          <w:color w:val="auto"/>
        </w:rPr>
        <w:t>. If you work or reside outside the United States, the RSUs will be subject to the general non-United States terms and conditions and the special terms and conditions of your country set forth in the attached International Appendix and, to the extent there is any conflict between this Agreement and the International Appendix, the International Appendix will control. Moreover, if you relocate from the United States to one of the countries included in the International Appendix or you move between countries included in the International Appendix, the general non-United States terms and conditions and the special terms and conditions for such country will apply to you, to the extent the Company determines that the application of such terms and conditions is necessary or advisable. The International Appendix is part of this Agreement.</w:t>
      </w:r>
    </w:p>
    <w:p>
      <w:pPr>
        <w:spacing w:after="0" w:line="206" w:lineRule="exact"/>
        <w:rPr>
          <w:rFonts w:ascii="Times New Roman" w:cs="Times New Roman" w:eastAsia="Times New Roman" w:hAnsi="Times New Roman"/>
          <w:sz w:val="20"/>
          <w:szCs w:val="20"/>
          <w:color w:val="auto"/>
        </w:rPr>
      </w:pPr>
    </w:p>
    <w:p>
      <w:pPr>
        <w:jc w:val="both"/>
        <w:ind w:firstLine="332"/>
        <w:spacing w:after="0" w:line="252" w:lineRule="auto"/>
        <w:tabs>
          <w:tab w:leader="none" w:pos="6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Company under this Agreement will be addressed to the Chief Legal Officer and Secretary at the Company’s principal executive offices, and any notice to be given to you will be addressed to you at the address on file with the Company and/or the Company’s appointed third-party Plan administrator. Either the Company or you may designate a different address by written notice to the other. Written notice to said addresses will be effective to bind the Company and you and your representatives and beneficiaries. Any notice required or permitted hereunder will be (a) given in writing and will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referenced herein, or (b) delivered electronically (including any notices delivered by a third-party) and will be deemed effectively given upon such delivery.</w:t>
      </w:r>
    </w:p>
    <w:p>
      <w:pPr>
        <w:spacing w:after="0" w:line="202" w:lineRule="exact"/>
        <w:rPr>
          <w:rFonts w:ascii="Times New Roman" w:cs="Times New Roman" w:eastAsia="Times New Roman" w:hAnsi="Times New Roman"/>
          <w:sz w:val="20"/>
          <w:szCs w:val="20"/>
          <w:color w:val="auto"/>
        </w:rPr>
      </w:pPr>
    </w:p>
    <w:p>
      <w:pPr>
        <w:ind w:right="20" w:firstLine="332"/>
        <w:spacing w:after="0" w:line="283" w:lineRule="auto"/>
        <w:tabs>
          <w:tab w:leader="none" w:pos="6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inure to the benefit of and be binding upon the parties hereto and their respective heirs, beneficiaries, executors, administrators, representatives, successors and assigns.</w:t>
      </w:r>
    </w:p>
    <w:p>
      <w:pPr>
        <w:spacing w:after="0" w:line="186" w:lineRule="exact"/>
        <w:rPr>
          <w:rFonts w:ascii="Times New Roman" w:cs="Times New Roman" w:eastAsia="Times New Roman" w:hAnsi="Times New Roman"/>
          <w:sz w:val="20"/>
          <w:szCs w:val="20"/>
          <w:color w:val="auto"/>
        </w:rPr>
      </w:pPr>
    </w:p>
    <w:p>
      <w:pPr>
        <w:jc w:val="both"/>
        <w:ind w:firstLine="332"/>
        <w:spacing w:after="0" w:line="266" w:lineRule="auto"/>
        <w:tabs>
          <w:tab w:leader="none" w:pos="64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Contract of Employment; Agreement’s Survival</w:t>
      </w:r>
      <w:r>
        <w:rPr>
          <w:rFonts w:ascii="Times New Roman" w:cs="Times New Roman" w:eastAsia="Times New Roman" w:hAnsi="Times New Roman"/>
          <w:sz w:val="19"/>
          <w:szCs w:val="19"/>
          <w:color w:val="auto"/>
        </w:rPr>
        <w:t>. Nothing contained in this Agreement will affect the right of the Company or an Affiliate to terminate your employment at any time, with or without Cause, or will be deemed to create any rights to employment on your part. The rights and obligations arising under this Agreement are not intended to and do not affect the employment relationship that otherwise exists between the Company or an Affiliate and you, whether such employment relationship is at will or defined by an employment contract. Moreover, this Agreement is not intended to and does not amend any existing employment contract between the Company and you. To the extent there is a conflict between this Agreement and such an employment contract as it relates to the RSUs awarded hereunder, the terms of this Agreement will govern and take priority. This Agreement will survive the termination of your employment for any reason.</w:t>
      </w:r>
    </w:p>
    <w:p>
      <w:pPr>
        <w:spacing w:after="0" w:line="208" w:lineRule="exact"/>
        <w:rPr>
          <w:rFonts w:ascii="Times New Roman" w:cs="Times New Roman" w:eastAsia="Times New Roman" w:hAnsi="Times New Roman"/>
          <w:sz w:val="19"/>
          <w:szCs w:val="19"/>
          <w:color w:val="auto"/>
        </w:rPr>
      </w:pPr>
    </w:p>
    <w:p>
      <w:pPr>
        <w:jc w:val="both"/>
        <w:ind w:firstLine="332"/>
        <w:spacing w:after="0" w:line="258" w:lineRule="auto"/>
        <w:tabs>
          <w:tab w:leader="none" w:pos="6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Waiver</w:t>
      </w:r>
      <w:r>
        <w:rPr>
          <w:rFonts w:ascii="Times New Roman" w:cs="Times New Roman" w:eastAsia="Times New Roman" w:hAnsi="Times New Roman"/>
          <w:sz w:val="20"/>
          <w:szCs w:val="20"/>
          <w:color w:val="auto"/>
        </w:rPr>
        <w:t>. The terms and conditions of this Agreement may be amended unilaterally by the Company, provided, however, that (a) no such amendment will be adverse to you without your written consent (except (i) as provided in Section A.5 above or (ii) to the extent the Company reasonably determines that such amendment is necessary or appropriate to comply with applicable law, including the provisions of Code Section 409A, stock exchange rules or accounting rules); and (b) the amendment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20"/>
          <w:szCs w:val="20"/>
          <w:color w:val="auto"/>
        </w:rPr>
        <w:t>be permitted under the Plan. The Company’s failure to insist upon strict compliance with any provision of this Agreement or failure to exercise, or any delay in exercising, any right, power or remedy under this Agreement will not be deemed to be a waiver of such provision or any such right, power or remedy which the Board, the Committee or the Company has under this Agreement.</w:t>
      </w:r>
    </w:p>
    <w:p>
      <w:pPr>
        <w:spacing w:after="0" w:line="181" w:lineRule="exact"/>
        <w:rPr>
          <w:sz w:val="20"/>
          <w:szCs w:val="20"/>
          <w:color w:val="auto"/>
        </w:rPr>
      </w:pPr>
    </w:p>
    <w:p>
      <w:pPr>
        <w:jc w:val="both"/>
        <w:ind w:firstLine="332"/>
        <w:spacing w:after="0" w:line="251" w:lineRule="auto"/>
        <w:tabs>
          <w:tab w:leader="none" w:pos="6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 or Reform by Court</w:t>
      </w:r>
      <w:r>
        <w:rPr>
          <w:rFonts w:ascii="Times New Roman" w:cs="Times New Roman" w:eastAsia="Times New Roman" w:hAnsi="Times New Roman"/>
          <w:sz w:val="20"/>
          <w:szCs w:val="20"/>
          <w:color w:val="auto"/>
        </w:rPr>
        <w:t>. If any provision of this Agreement is declared or found to be illegal, unenforceable or void, in whole or in part, then the parties will be relieved of their respective obligations arising under such provision only to the extent that it is illegal, unenforceable or void, it being the intent and agreement of the parties that this Agreement will be deemed amended by modifying such provision to the fullest extent necessary to make it legal and enforceable while preserving its intent or, if that is not possible, by substituting therefor another provision that is legal and enforceable and achieves the same objectives. If any provision of this Agreement is declared or found to be illegal, unenforceable or void to any extent, the validity or enforceability of the remaining provisions of this Agreement will not be affected.</w:t>
      </w:r>
    </w:p>
    <w:p>
      <w:pPr>
        <w:spacing w:after="0" w:line="219" w:lineRule="exact"/>
        <w:rPr>
          <w:rFonts w:ascii="Times New Roman" w:cs="Times New Roman" w:eastAsia="Times New Roman" w:hAnsi="Times New Roman"/>
          <w:sz w:val="20"/>
          <w:szCs w:val="20"/>
          <w:color w:val="auto"/>
        </w:rPr>
      </w:pPr>
    </w:p>
    <w:p>
      <w:pPr>
        <w:jc w:val="both"/>
        <w:ind w:firstLine="332"/>
        <w:spacing w:after="0" w:line="249" w:lineRule="auto"/>
        <w:tabs>
          <w:tab w:leader="none" w:pos="6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The Plan, the granting and vesting of the RSUs, and any obligations of the Company under the Plan, will be subject to all applicable federal, state and foreign country laws, rules and regulations, and to such approvals by any regulatory or governmental agency as may be required, and to any rules or regulations of any exchange on which the Shares are listed. The Company, in its discretion, may postpone the vesting of the RSUs, the issuance or delivery of Shares under this Award or any other action permitted under the Plan to enable the Company to complete any required action under any federal, state or foreign country law, rule or regulation. The Company may require that you make such representations and agreements and furnish such information as the Company deems appropriate to assure compliance with or exemption from the requirements of any securities exchange, any foreign, federal, state or local law, any governmental regulatory body, or any other applicable legal requirement, and Shares will not be issued unless and until you make such representations and agreements and furnish such information as the Company deems appropriate. The Company will not be obligated by virtue of any provision of the Plan to recognize the vesting of the RSUs or to otherwise sell or issue Shares in violation of any such laws, rules or regulations. Neither the Company nor its directors or officers will have any obligation or liability to you caused by any postponement of the vesting or settlement of the RSUs (or Shares issuable thereunder).</w:t>
      </w:r>
    </w:p>
    <w:p>
      <w:pPr>
        <w:spacing w:after="0" w:line="228" w:lineRule="exact"/>
        <w:rPr>
          <w:rFonts w:ascii="Times New Roman" w:cs="Times New Roman" w:eastAsia="Times New Roman" w:hAnsi="Times New Roman"/>
          <w:sz w:val="20"/>
          <w:szCs w:val="20"/>
          <w:color w:val="auto"/>
        </w:rPr>
      </w:pPr>
    </w:p>
    <w:p>
      <w:pPr>
        <w:ind w:firstLine="332"/>
        <w:spacing w:after="0" w:line="283" w:lineRule="auto"/>
        <w:tabs>
          <w:tab w:leader="none" w:pos="64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Shareholder</w:t>
      </w:r>
      <w:r>
        <w:rPr>
          <w:rFonts w:ascii="Times New Roman" w:cs="Times New Roman" w:eastAsia="Times New Roman" w:hAnsi="Times New Roman"/>
          <w:sz w:val="20"/>
          <w:szCs w:val="20"/>
          <w:color w:val="auto"/>
        </w:rPr>
        <w:t>. Except as set forth in the Plan, neither you nor any person claiming under or through you will be, or will have any of the rights or privileges of, a holder of Shares with respect to the RSUs unless and until Shares are actually delivered to you.</w:t>
      </w:r>
    </w:p>
    <w:p>
      <w:pPr>
        <w:spacing w:after="0" w:line="173" w:lineRule="exact"/>
        <w:rPr>
          <w:rFonts w:ascii="Times New Roman" w:cs="Times New Roman" w:eastAsia="Times New Roman" w:hAnsi="Times New Roman"/>
          <w:sz w:val="20"/>
          <w:szCs w:val="20"/>
          <w:color w:val="auto"/>
        </w:rPr>
      </w:pPr>
    </w:p>
    <w:p>
      <w:pPr>
        <w:jc w:val="both"/>
        <w:ind w:firstLine="332"/>
        <w:spacing w:after="0" w:line="253" w:lineRule="auto"/>
        <w:tabs>
          <w:tab w:leader="none" w:pos="63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In addition to the rights of the Company set forth in Paragraph 6 of Annex A, you agree, if the Company in its reasonable judgment determines that you owe the Company and/or any Affiliate any amount due to any loan, note, obligation or indebtedness, including but not limited to amounts owed to the Company pursuant to the Company’s tax equalization program or the Company’s policies with respect to travel and business expenses, and if you have not satisfied such obligation(s), then the Company may, to the extent permitted by applicable law (including without limitation Code Section 409A) instruct the Plan administrator to withhold and/or sell Shares acquired by you upon settlement of the RSUs, or the Company may deduct funds equal to the amount of such obligation from other funds due to you from the Company or an Affiliate.</w:t>
      </w:r>
    </w:p>
    <w:p>
      <w:pPr>
        <w:spacing w:after="0" w:line="179" w:lineRule="exact"/>
        <w:rPr>
          <w:rFonts w:ascii="Times New Roman" w:cs="Times New Roman" w:eastAsia="Times New Roman" w:hAnsi="Times New Roman"/>
          <w:sz w:val="20"/>
          <w:szCs w:val="20"/>
          <w:color w:val="auto"/>
        </w:rPr>
      </w:pPr>
    </w:p>
    <w:p>
      <w:pPr>
        <w:jc w:val="both"/>
        <w:ind w:firstLine="332"/>
        <w:spacing w:after="0" w:line="268" w:lineRule="auto"/>
        <w:tabs>
          <w:tab w:leader="none" w:pos="63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including this Agreement, by electronic means or request your consent to participate in the Plan by electronic means. You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20"/>
          <w:szCs w:val="20"/>
          <w:color w:val="auto"/>
        </w:rPr>
        <w:t>consent to receive such documents by electronic delivery and agree to participate in the Plan through an on-line or electronic system established and maintained by the Company or its appointed third-party Plan administrator. The Agreement if delivered by electronic means with electronic signatures will be treated in all manner and respects as an original executed document and will be considered to have the same binding legal effect as if it were the original signed versions thereof delivered in person.</w:t>
      </w:r>
    </w:p>
    <w:p>
      <w:pPr>
        <w:spacing w:after="0" w:line="168" w:lineRule="exact"/>
        <w:rPr>
          <w:sz w:val="20"/>
          <w:szCs w:val="20"/>
          <w:color w:val="auto"/>
        </w:rPr>
      </w:pPr>
    </w:p>
    <w:p>
      <w:pPr>
        <w:jc w:val="both"/>
        <w:ind w:firstLine="332"/>
        <w:spacing w:after="0" w:line="254" w:lineRule="auto"/>
        <w:tabs>
          <w:tab w:leader="none" w:pos="63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By accepting the RSUs, you explicitly and unambiguously consent to the collection, use, transfer, holding, storage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 in electronic or other form, of your personal data as described in this Agreement and any other Award grant materials (“Data”) by and among, as applicable, the Company and its subsidiaries and Affiliates (collectively referred to in this Data Privacy section as the “Company”) and certain third party service providers including, but not limited to, Plan brokers, financial advisers and legal counsel, engaged by the Company (collectively, the “Providers”) for the purpose of implementing, administering and managing the Plan and complying with applicable laws, regulations and legislation.</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You understand that the Data which may be collected, used, transferred, held, stored or disclosed by the Company and the Providers consists of certain Data about you, including, but not limited to, your name, home address, telephone number, date of birth, social insurance number or other government identification number, salary, nationality, job title, any Shares or directorships held in the Company, details of all RSUs or any other entitlement to Shares awarded, canceled, exercised, vested, unvested or outstanding. You further understand that such collection, use, transfer, holding, storage or disclosure of the Data may be necessary for the purpose of implementing, administering and managing the Plan and complying with applicable laws, regulations and legislation. You understand that the Company or the Providers may be located in the United States or elsewhere, and that the laws of the country in which the Company and the Providers collect, use, transfer, hold, store or disclose the Data may have different legal protections for the Data than your country. However, regardless of the location of the Data, the Company protects the Data through reasonable physical, technical and administrative safeguards and requires that the Providers also have such safeguards in place.</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You understand that you may, at any time, request a copy of your Data, request additional information about the storage and processing of Data, require any necessary amendments to Data or refuse or withdraw the consents herein, in any case without cost, by contacting your local human resources representative in writing. You understand that refusing or withdrawing your consent may affect your ability to participate in the Plan as more fully described below.</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You understand that you are providing the consent herein on a purely voluntary basis. If you do not consent, or if you later seek to revoke your consent, your employment status or service and career with your employer will not be adversely affected; the only adverse consequence of refusing or withdrawing your consent is that the Company would not be able to grant RSUs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both"/>
        <w:ind w:firstLine="332"/>
        <w:spacing w:after="0" w:line="258" w:lineRule="auto"/>
        <w:tabs>
          <w:tab w:leader="none" w:pos="63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Choice of Venue</w:t>
      </w:r>
      <w:r>
        <w:rPr>
          <w:rFonts w:ascii="Times New Roman" w:cs="Times New Roman" w:eastAsia="Times New Roman" w:hAnsi="Times New Roman"/>
          <w:sz w:val="20"/>
          <w:szCs w:val="20"/>
          <w:color w:val="auto"/>
        </w:rPr>
        <w:t>. This Agreement will be governed, construed and enforced in accordance with the laws of the State of Delaware and the United States, as applicable, without giving effect to conflict of law rules or principles thereof. Any action or proceeding seeking to enforce any provision of or based on any right arising out of this Agreement may be brought against you or the Company only in a federal or state court located in Delaware, and you and the Company each agree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submit yourself and your respective property to the exclusive jurisdiction of the foregoing courts with respect to such disputes.</w:t>
      </w:r>
    </w:p>
    <w:p>
      <w:pPr>
        <w:spacing w:after="0" w:line="256" w:lineRule="exact"/>
        <w:rPr>
          <w:sz w:val="20"/>
          <w:szCs w:val="20"/>
          <w:color w:val="auto"/>
        </w:rPr>
      </w:pPr>
    </w:p>
    <w:p>
      <w:pPr>
        <w:jc w:val="both"/>
        <w:ind w:firstLine="332"/>
        <w:spacing w:after="0" w:line="254" w:lineRule="auto"/>
        <w:tabs>
          <w:tab w:leader="none" w:pos="63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Incorporated</w:t>
      </w:r>
      <w:r>
        <w:rPr>
          <w:rFonts w:ascii="Times New Roman" w:cs="Times New Roman" w:eastAsia="Times New Roman" w:hAnsi="Times New Roman"/>
          <w:sz w:val="20"/>
          <w:szCs w:val="20"/>
          <w:color w:val="auto"/>
        </w:rPr>
        <w:t>. You accept the RSUs hereby granted subject to all the provisions of the Plan, which are incorporated into this Agreement, including the provisions that authorize the Committee to administer and interpret the Plan and which provide that the Committee’s decisions, determinations and interpretations with respect to the Plan are final and conclusive on all persons affected thereby. In the event of a conflict between this Agreement and the Plan, the Plan will prevail.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COLGATE-PALMOLIVE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168275</wp:posOffset>
            </wp:positionV>
            <wp:extent cx="1448435" cy="883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843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Using the Merrill Benefits Online system or other available means, you must accept the above RSUs in accordance with and subject to the terms and conditions of this Agreement and the Plan, acknowledge that you have read this Agreement and the Plan, and agree to be bound by this Agreement, the Plan and the actions of the Committee. </w:t>
      </w:r>
      <w:r>
        <w:rPr>
          <w:rFonts w:ascii="Times New Roman" w:cs="Times New Roman" w:eastAsia="Times New Roman" w:hAnsi="Times New Roman"/>
          <w:sz w:val="20"/>
          <w:szCs w:val="20"/>
          <w:b w:val="1"/>
          <w:bCs w:val="1"/>
          <w:color w:val="auto"/>
        </w:rPr>
        <w:t>If you do not do so within 180 days of the Grant Date indicated on the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Grant ([Date]), then the RSUs will become null and void and will be forfeited.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Prohibited Conduct</w:t>
      </w:r>
    </w:p>
    <w:p>
      <w:pPr>
        <w:spacing w:after="0" w:line="200" w:lineRule="exact"/>
        <w:rPr>
          <w:sz w:val="20"/>
          <w:szCs w:val="20"/>
          <w:color w:val="auto"/>
        </w:rPr>
      </w:pPr>
    </w:p>
    <w:p>
      <w:pPr>
        <w:spacing w:after="0" w:line="249"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 corporation or other entity (i) controlled by, controlling or under common control with, the Company (including, without limitation, a corporation or other entity in which the Company has a 50% or more ownership interest) or (ii) designated by the Committee from time to time as such for purposes of the Plan.</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Products</w:t>
      </w:r>
      <w:r>
        <w:rPr>
          <w:rFonts w:ascii="Times New Roman" w:cs="Times New Roman" w:eastAsia="Times New Roman" w:hAnsi="Times New Roman"/>
          <w:sz w:val="20"/>
          <w:szCs w:val="20"/>
          <w:color w:val="auto"/>
        </w:rPr>
        <w:t>” means any product, composition, formulation, process, machine or service of any person or organization (other than the Company or an Affiliate) in existence, being researched or under development that competes with, or is intended to compete with, a product, composition, formulation, process, machine or service being researched or under development, produced, distributed, marketed, sold or licensed by the Company or an Affiliate (i) related to any aspect of any one or more of the Company’s or an Affiliate’s lines of business on which you have worked or provided services during the Relevant Period, or (ii) for which you have obtained, been provided or had access to confidential, proprietary and/or trade secret information of the Company or an Affiliate.</w:t>
      </w:r>
    </w:p>
    <w:p>
      <w:pPr>
        <w:spacing w:after="0" w:line="192" w:lineRule="exact"/>
        <w:rPr>
          <w:rFonts w:ascii="Times New Roman" w:cs="Times New Roman" w:eastAsia="Times New Roman" w:hAnsi="Times New Roman"/>
          <w:sz w:val="20"/>
          <w:szCs w:val="20"/>
          <w:color w:val="auto"/>
        </w:rPr>
      </w:pPr>
    </w:p>
    <w:p>
      <w:pPr>
        <w:jc w:val="both"/>
        <w:ind w:right="20" w:firstLine="656"/>
        <w:spacing w:after="0" w:line="295" w:lineRule="auto"/>
        <w:tabs>
          <w:tab w:leader="none" w:pos="1285"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Prohibited Geography</w:t>
      </w:r>
      <w:r>
        <w:rPr>
          <w:rFonts w:ascii="Times New Roman" w:cs="Times New Roman" w:eastAsia="Times New Roman" w:hAnsi="Times New Roman"/>
          <w:sz w:val="19"/>
          <w:szCs w:val="19"/>
          <w:color w:val="auto"/>
        </w:rPr>
        <w:t>” means any country, geography, territory, region or division with respect to which, during the Relevant Period, you have worked, provided services or had a material presence or influence for the Company or an Affiliate in any capacity.</w:t>
      </w:r>
    </w:p>
    <w:p>
      <w:pPr>
        <w:spacing w:after="0" w:line="151" w:lineRule="exact"/>
        <w:rPr>
          <w:rFonts w:ascii="Times New Roman" w:cs="Times New Roman" w:eastAsia="Times New Roman" w:hAnsi="Times New Roman"/>
          <w:sz w:val="19"/>
          <w:szCs w:val="19"/>
          <w:color w:val="auto"/>
        </w:rPr>
      </w:pPr>
    </w:p>
    <w:p>
      <w:pPr>
        <w:ind w:firstLine="656"/>
        <w:spacing w:after="0" w:line="269" w:lineRule="auto"/>
        <w:tabs>
          <w:tab w:leader="none" w:pos="129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Period</w:t>
      </w:r>
      <w:r>
        <w:rPr>
          <w:rFonts w:ascii="Times New Roman" w:cs="Times New Roman" w:eastAsia="Times New Roman" w:hAnsi="Times New Roman"/>
          <w:sz w:val="20"/>
          <w:szCs w:val="20"/>
          <w:color w:val="auto"/>
        </w:rPr>
        <w:t>” means the 24-month period immediately prior to the termination of your employment with the Company or an Affiliate for any reason.</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Time</w:t>
      </w:r>
      <w:r>
        <w:rPr>
          <w:rFonts w:ascii="Times New Roman" w:cs="Times New Roman" w:eastAsia="Times New Roman" w:hAnsi="Times New Roman"/>
          <w:sz w:val="20"/>
          <w:szCs w:val="20"/>
          <w:color w:val="auto"/>
        </w:rPr>
        <w:t>” means the period during which you are employed by the Company or an Affiliate plus the 12-month period immediately following the termination of your employment with the Company or an Affiliate for any reason.</w:t>
      </w:r>
    </w:p>
    <w:p>
      <w:pPr>
        <w:spacing w:after="0" w:line="173" w:lineRule="exact"/>
        <w:rPr>
          <w:rFonts w:ascii="Times New Roman" w:cs="Times New Roman" w:eastAsia="Times New Roman" w:hAnsi="Times New Roman"/>
          <w:sz w:val="20"/>
          <w:szCs w:val="20"/>
          <w:color w:val="auto"/>
        </w:rPr>
      </w:pPr>
    </w:p>
    <w:p>
      <w:pPr>
        <w:ind w:right="20" w:firstLine="332"/>
        <w:spacing w:after="0" w:line="283"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Each of the covenants contained in Paragraphs 2(a)-(c) of this Annex A are collectively referred to as the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Non-Compete</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1620" w:hanging="316"/>
        <w:spacing w:after="0" w:line="251" w:lineRule="auto"/>
        <w:tabs>
          <w:tab w:leader="none" w:pos="1616"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Restricted Time, you will not, without the prior written consent of the Company’s Chief Human Resources Officer or Chief Legal Officer, either directly or indirectly, for yourself or on behalf of or in conjunction with any other person, partnership, corporation or other entity, serve as a director, officer, employee, consultant, contractor or advisor of, provide services or advice in any capacity to, or acquire or hold any ownership interest in an entity that manufactures, markets, sells, develops, distributes or produces Covered Products in the Prohibited Geography, subject to applicable law. Notwithstanding the foregoing, you will not be considered to be in violation of this covenant solely by reason of owning, directly or indirectly, up to 5% in the aggregate of any class of securities of any corporation, partnership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A-1</w:t>
      </w:r>
    </w:p>
    <w:p>
      <w:pPr>
        <w:sectPr>
          <w:pgSz w:w="11900" w:h="16838" w:orient="portrait"/>
          <w:cols w:equalWidth="0" w:num="1">
            <w:col w:w="11240"/>
          </w:cols>
          <w:pgMar w:left="320" w:top="1422" w:right="339" w:bottom="1440" w:gutter="0" w:footer="0" w:header="0"/>
        </w:sectPr>
      </w:pPr>
    </w:p>
    <w:bookmarkStart w:id="83" w:name="page84"/>
    <w:bookmarkEnd w:id="83"/>
    <w:p>
      <w:pPr>
        <w:jc w:val="both"/>
        <w:ind w:left="1620" w:hanging="316"/>
        <w:spacing w:after="0" w:line="250" w:lineRule="auto"/>
        <w:tabs>
          <w:tab w:leader="none" w:pos="161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your employment with the Company or an Affiliate, you agree to disclose to your Human Resources Representative in writing, at least fourteen (14) days prior to your anticipated last day of employment with the Company or Affiliate, as applicable, the name of any new employer or other entity for whom you will be providing services or advice in any capacity and the scope of your role with that employer or other entity in order to allow the Company a reasonable period of time to determine whether that role is in breach of the Restrictive Covenants. You further agree that during the Restricted Time, you will provide notice to the Company as set forth in this subparagraph and pursuant to the Notices provision of Section C.3 of this Agreement, of any new employer or other new entity for whom you will be providing services or advice in any capacity, or new role with any employer or other entity, at least fourteen (14) days prior to assuming that new role to allow the Company a reasonable period of time to determine whether that role is in breach of the Restrictive Covenants.</w:t>
      </w:r>
    </w:p>
    <w:p>
      <w:pPr>
        <w:spacing w:after="0" w:line="22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Non-Interference</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1620" w:hanging="316"/>
        <w:spacing w:after="0" w:line="266" w:lineRule="auto"/>
        <w:tabs>
          <w:tab w:leader="none" w:pos="1616"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Covered Products, during the Restricted Time, except on behalf of the Company or an Affiliate, you will not solicit or sell to (or attempt to solicit or sell to) any customer or prospective customer, or any supplier, licensee or other business relation of the Company or an Affiliate (each, a “</w:t>
      </w:r>
      <w:r>
        <w:rPr>
          <w:rFonts w:ascii="Times New Roman" w:cs="Times New Roman" w:eastAsia="Times New Roman" w:hAnsi="Times New Roman"/>
          <w:sz w:val="19"/>
          <w:szCs w:val="19"/>
          <w:u w:val="single" w:color="auto"/>
          <w:color w:val="auto"/>
        </w:rPr>
        <w:t>Restricted Third Party</w:t>
      </w:r>
      <w:r>
        <w:rPr>
          <w:rFonts w:ascii="Times New Roman" w:cs="Times New Roman" w:eastAsia="Times New Roman" w:hAnsi="Times New Roman"/>
          <w:sz w:val="19"/>
          <w:szCs w:val="19"/>
          <w:color w:val="auto"/>
        </w:rPr>
        <w:t>”) (a) for which, during your employment with the Company or an Affiliate, you, directly or indirectly, engaged or had responsibility on behalf of the Company or an Affiliate during the Relevant Period, or (b) for which you have obtained, been provided, or had access to confidential information of the Restricted Third Party, or (c) for which you have obtained, been provided or had access to Confidential Information (as such term is defined in Paragraph 3 below) pertaining to the Restricted Third Party.</w:t>
      </w:r>
    </w:p>
    <w:p>
      <w:pPr>
        <w:spacing w:after="0" w:line="208" w:lineRule="exact"/>
        <w:rPr>
          <w:sz w:val="20"/>
          <w:szCs w:val="20"/>
          <w:color w:val="auto"/>
        </w:rPr>
      </w:pPr>
    </w:p>
    <w:p>
      <w:pPr>
        <w:jc w:val="both"/>
        <w:ind w:left="1620" w:hanging="316"/>
        <w:spacing w:after="0" w:line="261" w:lineRule="auto"/>
        <w:tabs>
          <w:tab w:leader="none" w:pos="161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during the Restricted Time, you will not induce (or attempt to induce) any Restricted Third Party to cease or diminish doing business with the Company or an Affiliate or in any way interfere with the relationship between any Restricted Third Party and the Company or an Affiliate.</w:t>
      </w:r>
    </w:p>
    <w:p>
      <w:pPr>
        <w:spacing w:after="0" w:line="194" w:lineRule="exact"/>
        <w:rPr>
          <w:rFonts w:ascii="Times New Roman" w:cs="Times New Roman" w:eastAsia="Times New Roman" w:hAnsi="Times New Roman"/>
          <w:sz w:val="20"/>
          <w:szCs w:val="20"/>
          <w:color w:val="auto"/>
        </w:rPr>
      </w:pPr>
    </w:p>
    <w:p>
      <w:pPr>
        <w:jc w:val="both"/>
        <w:ind w:left="1620" w:hanging="316"/>
        <w:spacing w:after="0" w:line="268" w:lineRule="auto"/>
        <w:tabs>
          <w:tab w:leader="none" w:pos="16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2(b), a “</w:t>
      </w:r>
      <w:r>
        <w:rPr>
          <w:rFonts w:ascii="Times New Roman" w:cs="Times New Roman" w:eastAsia="Times New Roman" w:hAnsi="Times New Roman"/>
          <w:sz w:val="20"/>
          <w:szCs w:val="20"/>
          <w:u w:val="single" w:color="auto"/>
          <w:color w:val="auto"/>
        </w:rPr>
        <w:t>prospective customer</w:t>
      </w:r>
      <w:r>
        <w:rPr>
          <w:rFonts w:ascii="Times New Roman" w:cs="Times New Roman" w:eastAsia="Times New Roman" w:hAnsi="Times New Roman"/>
          <w:sz w:val="20"/>
          <w:szCs w:val="20"/>
          <w:color w:val="auto"/>
        </w:rPr>
        <w:t>” of the Company or an Affiliate is a person or entity with whom the Company or an Affiliate was engaged in communications or negotiations to provide services with respect to Covered Products or to sell Covered Products during the Relevant Period.</w:t>
      </w:r>
    </w:p>
    <w:p>
      <w:pPr>
        <w:spacing w:after="0" w:line="188" w:lineRule="exact"/>
        <w:rPr>
          <w:rFonts w:ascii="Times New Roman" w:cs="Times New Roman" w:eastAsia="Times New Roman" w:hAnsi="Times New Roman"/>
          <w:sz w:val="20"/>
          <w:szCs w:val="20"/>
          <w:color w:val="auto"/>
        </w:rPr>
      </w:pPr>
    </w:p>
    <w:p>
      <w:pPr>
        <w:ind w:right="20" w:firstLine="656"/>
        <w:spacing w:after="0" w:line="283" w:lineRule="auto"/>
        <w:tabs>
          <w:tab w:leader="none" w:pos="128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Non-Solicitation</w:t>
      </w:r>
      <w:r>
        <w:rPr>
          <w:rFonts w:ascii="Times New Roman" w:cs="Times New Roman" w:eastAsia="Times New Roman" w:hAnsi="Times New Roman"/>
          <w:sz w:val="20"/>
          <w:szCs w:val="20"/>
          <w:color w:val="auto"/>
        </w:rPr>
        <w:t>. During the Restricted Time, you will not in any way, including through another person acting on your recommendation, suggestion, identification or advice:</w:t>
      </w:r>
    </w:p>
    <w:p>
      <w:pPr>
        <w:spacing w:after="0" w:line="146"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employ or retain any person who is employed by the Company or an Affiliate; or</w:t>
      </w:r>
    </w:p>
    <w:p>
      <w:pPr>
        <w:spacing w:after="0" w:line="256"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61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induce or attempt to induce (A) any such person to terminate his or her employment with the Company or an Affiliate or to accept any position with any other person or entity, or (B) any prospective employee not to establish an employment relationship with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A-2</w:t>
      </w:r>
    </w:p>
    <w:p>
      <w:pPr>
        <w:sectPr>
          <w:pgSz w:w="11900" w:h="16838" w:orient="portrait"/>
          <w:cols w:equalWidth="0" w:num="1">
            <w:col w:w="11240"/>
          </w:cols>
          <w:pgMar w:left="320" w:top="1413" w:right="339" w:bottom="1440" w:gutter="0" w:footer="0" w:header="0"/>
        </w:sectPr>
      </w:pPr>
    </w:p>
    <w:bookmarkStart w:id="84" w:name="page85"/>
    <w:bookmarkEnd w:id="84"/>
    <w:p>
      <w:pPr>
        <w:ind w:left="1620" w:hanging="316"/>
        <w:spacing w:after="0" w:line="283" w:lineRule="auto"/>
        <w:tabs>
          <w:tab w:leader="none" w:pos="1618"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2(c), a “</w:t>
      </w:r>
      <w:r>
        <w:rPr>
          <w:rFonts w:ascii="Times New Roman" w:cs="Times New Roman" w:eastAsia="Times New Roman" w:hAnsi="Times New Roman"/>
          <w:sz w:val="20"/>
          <w:szCs w:val="20"/>
          <w:u w:val="single" w:color="auto"/>
          <w:color w:val="auto"/>
        </w:rPr>
        <w:t>prospective employee</w:t>
      </w:r>
      <w:r>
        <w:rPr>
          <w:rFonts w:ascii="Times New Roman" w:cs="Times New Roman" w:eastAsia="Times New Roman" w:hAnsi="Times New Roman"/>
          <w:sz w:val="20"/>
          <w:szCs w:val="20"/>
          <w:color w:val="auto"/>
        </w:rPr>
        <w:t>” is a person who was in communications or negotiations to become an employee of the Company or an Affiliate during the Relevant Period.</w:t>
      </w:r>
    </w:p>
    <w:p>
      <w:pPr>
        <w:spacing w:after="0" w:line="17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your employment and thereafter, you will hold in strictest confidence, and not use, except for the benefit of the Company and/or its Affiliates, or disclose to any person or entity without written authorization of an officer of the Company, any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except under a non-disclosure agreement duly authorized and executed by the Company.</w:t>
      </w:r>
    </w:p>
    <w:p>
      <w:pPr>
        <w:spacing w:after="0" w:line="208"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includes nonpublic information pertaining to the Company and/or its Affiliates and may include, but not be limited to, its and/or their strategic plans, advertising and marketing plans, sales plans, formulae, processes, methods, machines, ideas, concepts, new product developments, proposed launches, discontinuance of existing products, product and consumer testing data, sales and market research, technology research and development, budgets, profit and loss data, raw material costs, identity of suppliers, customer lists, customer information, improvements, inventions, personnel information (including information regarding other employees’ skills, performance, and discipline), financial or business information and data, and associations with other organizations that the Company has not previously made public. “Confidential Information” also includes any third party’s information received by the Company and/or its Affiliates subject to an obligation, understanding or business practice of confidentiality, including information subject to confidentiality obligations under applicable law or contract.</w:t>
      </w:r>
    </w:p>
    <w:p>
      <w:pPr>
        <w:spacing w:after="0" w:line="219"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does not include (i) information that can be shown by written evidence to be in the public domain at the time of disclosure by you or that is publicized or otherwise becomes part of the public domain through no fault of your own or the wrongdoing of a third party</w:t>
      </w:r>
      <w:r>
        <w:rPr>
          <w:rFonts w:ascii="Times New Roman" w:cs="Times New Roman" w:eastAsia="Times New Roman" w:hAnsi="Times New Roman"/>
          <w:sz w:val="21"/>
          <w:szCs w:val="21"/>
          <w:color w:val="auto"/>
        </w:rPr>
        <w:t>; or (ii) information</w:t>
      </w:r>
      <w:r>
        <w:rPr>
          <w:rFonts w:ascii="Times New Roman" w:cs="Times New Roman" w:eastAsia="Times New Roman" w:hAnsi="Times New Roman"/>
          <w:sz w:val="20"/>
          <w:szCs w:val="20"/>
          <w:color w:val="auto"/>
        </w:rPr>
        <w:t xml:space="preserve"> that has become publicly known and made generally available through no act of yours or of others who were under confidentiality obligations as to the item or items involved or improvements or new versions thereof. In the event that you do not know whether specific information is regarded as Confidential Information hereunder, you will inquire from the Company and obtain the Company’s input thereon before treating the information as something other than Confidential Information.</w:t>
      </w:r>
    </w:p>
    <w:p>
      <w:pPr>
        <w:spacing w:after="0" w:line="20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hereby notified that under the U.S. Defend Trade Secrets Act of 2016: (1) no individual will be held criminally or civilly liable under U.S. federal or state trade secret law for the disclosure of a trade secret (as defined in the U.S. Economic Espionage Act) that: (A) is made in confidence to a U.S.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or arbitration proceeding, if the individual files any document containing the trade secret under seal, and does not disclose the trade secret, except as permitted by order in that proceeding.</w:t>
      </w:r>
    </w:p>
    <w:p>
      <w:pPr>
        <w:spacing w:after="0" w:line="20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is intended to or shall preclude you from: (i) providing truthful testimony on any non-privileged subject matter in response to a valid subpoena, court order, regulatory request or other judicial, administrative or legal process or otherwise as required by law;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A-3</w:t>
      </w:r>
    </w:p>
    <w:p>
      <w:pPr>
        <w:sectPr>
          <w:pgSz w:w="11900" w:h="16838" w:orient="portrait"/>
          <w:cols w:equalWidth="0" w:num="1">
            <w:col w:w="11240"/>
          </w:cols>
          <w:pgMar w:left="320" w:top="1413" w:right="339" w:bottom="1440" w:gutter="0" w:footer="0" w:header="0"/>
        </w:sectPr>
      </w:pPr>
    </w:p>
    <w:bookmarkStart w:id="85" w:name="page86"/>
    <w:bookmarkEnd w:id="85"/>
    <w:p>
      <w:pPr>
        <w:jc w:val="both"/>
        <w:spacing w:after="0" w:line="251" w:lineRule="auto"/>
        <w:rPr>
          <w:sz w:val="20"/>
          <w:szCs w:val="20"/>
          <w:color w:val="auto"/>
        </w:rPr>
      </w:pPr>
      <w:r>
        <w:rPr>
          <w:rFonts w:ascii="Times New Roman" w:cs="Times New Roman" w:eastAsia="Times New Roman" w:hAnsi="Times New Roman"/>
          <w:sz w:val="20"/>
          <w:szCs w:val="20"/>
          <w:color w:val="auto"/>
        </w:rPr>
        <w:t>reporting, without any prior authorization from, or notification to, the Company, any good faith allegation of unlawful employment practices, criminal conduct or possible violations of law or regulation to any appropriate federal, state, or local governmental or regulatory agency, entity or official(s), including but not limited to the U.S. Securities and Exchange Commission, the U.S. National Labor Relations Board, the U.S. Equal Employment Opportunity Commission, or any analogous state or local government agencies (collectively, “</w:t>
      </w:r>
      <w:r>
        <w:rPr>
          <w:rFonts w:ascii="Times New Roman" w:cs="Times New Roman" w:eastAsia="Times New Roman" w:hAnsi="Times New Roman"/>
          <w:sz w:val="20"/>
          <w:szCs w:val="20"/>
          <w:u w:val="single" w:color="auto"/>
          <w:color w:val="auto"/>
        </w:rPr>
        <w:t>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Authorities</w:t>
      </w:r>
      <w:r>
        <w:rPr>
          <w:rFonts w:ascii="Times New Roman" w:cs="Times New Roman" w:eastAsia="Times New Roman" w:hAnsi="Times New Roman"/>
          <w:sz w:val="20"/>
          <w:szCs w:val="20"/>
          <w:color w:val="auto"/>
        </w:rPr>
        <w:t>”), or making other disclosures that are protected under the whistleblower provisions of applicable federal, state, or local law or regulation; (iii) participating in any investigation or proceeding by any Governmental Authority; and (iv) discussing workplace issues including wages or other terms and conditions of employment or otherwise exercising your rights under Section 7 of the U.S. National Labor Relations Act.</w:t>
      </w:r>
    </w:p>
    <w:p>
      <w:pPr>
        <w:spacing w:after="0" w:line="195" w:lineRule="exact"/>
        <w:rPr>
          <w:sz w:val="20"/>
          <w:szCs w:val="20"/>
          <w:color w:val="auto"/>
        </w:rPr>
      </w:pPr>
    </w:p>
    <w:p>
      <w:pPr>
        <w:jc w:val="both"/>
        <w:ind w:firstLine="332"/>
        <w:spacing w:after="0" w:line="253" w:lineRule="auto"/>
        <w:tabs>
          <w:tab w:leader="none" w:pos="64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You agree that upon termination of your employment, you will promptly return to the Company all of its property, including, but not limited to, car stock, computers, mobile devices, tablets, cell phones, files, documents, identification cards, credit cards, keys, equipment, software and data, however stored. To the extent you have any Company material or information stored on any mobile device or other personal laptop, cloud, email, thumb or hard drive or other personal device, you agree to return all such material and information to your human resources representative and to permanently delete any copies of such material and information, subject to any litigation preservation directive that may be applicable to you.</w:t>
      </w:r>
    </w:p>
    <w:p>
      <w:pPr>
        <w:spacing w:after="0" w:line="20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Reasonableness of Provisions</w:t>
      </w:r>
      <w:r>
        <w:rPr>
          <w:rFonts w:ascii="Times New Roman" w:cs="Times New Roman" w:eastAsia="Times New Roman" w:hAnsi="Times New Roman"/>
          <w:sz w:val="20"/>
          <w:szCs w:val="20"/>
          <w:color w:val="auto"/>
        </w:rPr>
        <w:t>. You agree that: (a) the terms and provisions of this Agreement (including Annex A) are reasonable;</w:t>
      </w:r>
    </w:p>
    <w:p>
      <w:pPr>
        <w:spacing w:after="0" w:line="28" w:lineRule="exact"/>
        <w:rPr>
          <w:rFonts w:ascii="Times New Roman" w:cs="Times New Roman" w:eastAsia="Times New Roman" w:hAnsi="Times New Roman"/>
          <w:sz w:val="20"/>
          <w:szCs w:val="20"/>
          <w:color w:val="auto"/>
        </w:rPr>
      </w:pPr>
    </w:p>
    <w:p>
      <w:pPr>
        <w:jc w:val="both"/>
        <w:ind w:firstLine="8"/>
        <w:spacing w:after="0" w:line="253" w:lineRule="auto"/>
        <w:tabs>
          <w:tab w:leader="none" w:pos="31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consideration provided by the Company under this Agreement is not illusory; (c) the Restrictive Covenants are necessary and reasonable for the protection of the legitimate business interests, trade secrets, Confidential Information and goodwill of the Company and its Affiliates; and (d) the consideration given by the Company under this Agreement gives rise to the Company’s interest in the Restrictive Covenants set forth in this Annex A.</w:t>
      </w:r>
    </w:p>
    <w:p>
      <w:pPr>
        <w:spacing w:after="0" w:line="202" w:lineRule="exact"/>
        <w:rPr>
          <w:rFonts w:ascii="Times New Roman" w:cs="Times New Roman" w:eastAsia="Times New Roman" w:hAnsi="Times New Roman"/>
          <w:sz w:val="20"/>
          <w:szCs w:val="20"/>
          <w:color w:val="auto"/>
        </w:rPr>
      </w:pPr>
    </w:p>
    <w:p>
      <w:pPr>
        <w:jc w:val="both"/>
        <w:ind w:firstLine="332"/>
        <w:spacing w:after="0" w:line="249" w:lineRule="auto"/>
        <w:tabs>
          <w:tab w:leader="none" w:pos="64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and Forfeiture</w:t>
      </w:r>
      <w:r>
        <w:rPr>
          <w:rFonts w:ascii="Times New Roman" w:cs="Times New Roman" w:eastAsia="Times New Roman" w:hAnsi="Times New Roman"/>
          <w:sz w:val="20"/>
          <w:szCs w:val="20"/>
          <w:color w:val="auto"/>
        </w:rPr>
        <w:t>. You specifically recognize and affirm that each of the Restrictive Covenants is a material and important term of this Agreement which has induced the Company to provide for the award of the RSUs granted hereunder. You further agree that in the event that the Company determines that you have breached or attempted or threatened to breach any of the Restrictive Covenants, in addition to any other remedies and monetary damages (which may not be ascertainable) at law or in equity the Company may have available to it, including but not limited to the equitable relief described below in Paragraph 7, the Company may in its sole discretion: (a) cancel any unvested RSUs granted hereunder, including unvested RSUs that would otherwise have vested in connection with Retirement; and (b) require you to pay to the Company the Proceeds (as defined below) of any RSUs that vested during the Look Back Period (as defined below). You will pay to the Company the Proceeds in cash upon demand, and the Company will be entitled to set off against any amount due to you from the Company or an Affiliate, including but not limited to any bonus payments, the amount of any such Proceeds, to the extent that such set-off is not inconsistent with Code Section 409A or other applicable law. For purposes of this Paragraph 6, the term “</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means the aggregate value of the Shares covered by the RSUs that have vested, determined based on the Fair Market Value of such Shares on the applicable vesting date. For the avoidance of doubt, the amount of Proceeds shall be determined without regard to any taxes or amounts that may be deducted with respect to the vesting of the RSUs. The “</w:t>
      </w:r>
      <w:r>
        <w:rPr>
          <w:rFonts w:ascii="Times New Roman" w:cs="Times New Roman" w:eastAsia="Times New Roman" w:hAnsi="Times New Roman"/>
          <w:sz w:val="20"/>
          <w:szCs w:val="20"/>
          <w:u w:val="single" w:color="auto"/>
          <w:color w:val="auto"/>
        </w:rPr>
        <w:t>Look Back Period</w:t>
      </w:r>
      <w:r>
        <w:rPr>
          <w:rFonts w:ascii="Times New Roman" w:cs="Times New Roman" w:eastAsia="Times New Roman" w:hAnsi="Times New Roman"/>
          <w:sz w:val="20"/>
          <w:szCs w:val="20"/>
          <w:color w:val="auto"/>
        </w:rPr>
        <w:t>” means the longer of the following two periods: (i) the 12-month period immediately preceding the date on which the Company becomes aware of a breach or attempted or threatened breach of any of the Restrictive Covenants; or (ii) the six-month period immediately prior to the date of the termination of your employment with the Company or an Affiliate through the date on which the Company became aware 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A-4</w:t>
      </w:r>
    </w:p>
    <w:p>
      <w:pPr>
        <w:sectPr>
          <w:pgSz w:w="11900" w:h="16838" w:orient="portrait"/>
          <w:cols w:equalWidth="0" w:num="1">
            <w:col w:w="11240"/>
          </w:cols>
          <w:pgMar w:left="320" w:top="1413" w:right="339" w:bottom="1440" w:gutter="0" w:footer="0" w:header="0"/>
        </w:sectPr>
      </w:pPr>
    </w:p>
    <w:bookmarkStart w:id="86" w:name="page87"/>
    <w:bookmarkEnd w:id="86"/>
    <w:p>
      <w:pPr>
        <w:spacing w:after="0" w:line="283" w:lineRule="auto"/>
        <w:rPr>
          <w:sz w:val="20"/>
          <w:szCs w:val="20"/>
          <w:color w:val="auto"/>
        </w:rPr>
      </w:pPr>
      <w:r>
        <w:rPr>
          <w:rFonts w:ascii="Times New Roman" w:cs="Times New Roman" w:eastAsia="Times New Roman" w:hAnsi="Times New Roman"/>
          <w:sz w:val="20"/>
          <w:szCs w:val="20"/>
          <w:color w:val="auto"/>
        </w:rPr>
        <w:t>the breach or attempted or threatened breach, provided the date on which the Company becomes aware of the breach or attempted or threatened breach is no later than 12 months after the date of termination.</w:t>
      </w:r>
    </w:p>
    <w:p>
      <w:pPr>
        <w:spacing w:after="0" w:line="173" w:lineRule="exact"/>
        <w:rPr>
          <w:sz w:val="20"/>
          <w:szCs w:val="20"/>
          <w:color w:val="auto"/>
        </w:rPr>
      </w:pPr>
    </w:p>
    <w:p>
      <w:pPr>
        <w:jc w:val="both"/>
        <w:ind w:firstLine="332"/>
        <w:spacing w:after="0" w:line="250"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You acknowledge that the services you provide to the Company and/or its Affiliate(s) are of a unique nature and that it would be difficult to replace such services. You also acknowledge that a breach of any of the Restrictive Covenants contained in this Agreement may cause irreparable damage to the Company and its Affiliate(s), the exact amount of which would be difficult to ascertain, and that any remedies, including the repayment and forfeiture remedies set forth in Paragraph 6 of this Annex A and any remedies permissible under law, for any such breach or threatened breach would be inadequate. Accordingly, in the event the Company determines that you have breached or attempted or threatened to breach any of the Restrictive Covenants, in addition to any other remedies at law or in equity the Company may have available to it, it is agreed that the Company will be entitled to institute and prosecute proceedings in any court, tribunal or arbitrator of competent jurisdiction for specific performance, a temporary restraining order or preliminary injunction (without the necessity of (i) proving irreparable harm, (ii) establishing that monetary damages are inadequate or (iii) posting any bond with respect thereto) prohibiting such breach or attempted or threatened breach by proving only the existence of such breach or attempted or threatened breach.</w:t>
      </w:r>
    </w:p>
    <w:p>
      <w:pPr>
        <w:spacing w:after="0" w:line="226" w:lineRule="exact"/>
        <w:rPr>
          <w:rFonts w:ascii="Times New Roman" w:cs="Times New Roman" w:eastAsia="Times New Roman" w:hAnsi="Times New Roman"/>
          <w:sz w:val="20"/>
          <w:szCs w:val="20"/>
          <w:color w:val="auto"/>
        </w:rPr>
      </w:pPr>
    </w:p>
    <w:p>
      <w:pPr>
        <w:ind w:right="20" w:firstLine="332"/>
        <w:spacing w:after="0" w:line="269"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Restrictive Period</w:t>
      </w:r>
      <w:r>
        <w:rPr>
          <w:rFonts w:ascii="Times New Roman" w:cs="Times New Roman" w:eastAsia="Times New Roman" w:hAnsi="Times New Roman"/>
          <w:sz w:val="20"/>
          <w:szCs w:val="20"/>
          <w:color w:val="auto"/>
        </w:rPr>
        <w:t>. You agree that the Restricted Time will be extended by any time during which you are in violation of any of the Restrictive Covenants.</w:t>
      </w:r>
    </w:p>
    <w:p>
      <w:pPr>
        <w:spacing w:after="0" w:line="199"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w:t>
      </w:r>
      <w:r>
        <w:rPr>
          <w:rFonts w:ascii="Times New Roman" w:cs="Times New Roman" w:eastAsia="Times New Roman" w:hAnsi="Times New Roman"/>
          <w:sz w:val="20"/>
          <w:szCs w:val="20"/>
          <w:color w:val="auto"/>
        </w:rPr>
        <w:t>. You and the Company agree that it is our mutual intent to enter into a valid and enforceable agreement. You acknowledge that you are hereby advised in writing, and have had a reasonable opportunity, to consult with counsel of your choice before accepting this Agreement, and that you were provided a copy of this Agreement, including this Annex A, before the deadline for accepting it. You and the Company acknowledge the reasonableness of the Restrictive Covenants, including the reasonableness of the geographic area, duration as to time and scope of activity restrained. You further acknowledge that your skills are such that you can be gainfully employed in noncompetitive employment and that the agreement not to compete will not prevent you from earning a living. You acknowledge that the remedies set forth in this Agreement are not the exclusive remedies and the Company may avail itself of other remedies at law or in equity in the event you breach any of the Restrictive Covenants.</w:t>
      </w:r>
    </w:p>
    <w:p>
      <w:pPr>
        <w:spacing w:after="0" w:line="222" w:lineRule="exact"/>
        <w:rPr>
          <w:rFonts w:ascii="Times New Roman" w:cs="Times New Roman" w:eastAsia="Times New Roman" w:hAnsi="Times New Roman"/>
          <w:sz w:val="20"/>
          <w:szCs w:val="20"/>
          <w:color w:val="auto"/>
        </w:rPr>
      </w:pPr>
    </w:p>
    <w:p>
      <w:pPr>
        <w:jc w:val="both"/>
        <w:ind w:firstLine="332"/>
        <w:spacing w:after="0" w:line="254" w:lineRule="auto"/>
        <w:tabs>
          <w:tab w:leader="none" w:pos="63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Independent</w:t>
      </w:r>
      <w:r>
        <w:rPr>
          <w:rFonts w:ascii="Times New Roman" w:cs="Times New Roman" w:eastAsia="Times New Roman" w:hAnsi="Times New Roman"/>
          <w:sz w:val="20"/>
          <w:szCs w:val="20"/>
          <w:color w:val="auto"/>
        </w:rPr>
        <w:t>. The Restrictive Covenants will be construed as an agreement independent of any other agreement, including any employee benefit agreement, and independent of any other provision of this Agreement, and the existence of any claim or cause of action you bring against the Company or an Affiliate, whether predicated upon this Agreement or otherwise, will not constitute a defense to the enforcement by the Company of such covenants.</w:t>
      </w:r>
    </w:p>
    <w:p>
      <w:pPr>
        <w:spacing w:after="0" w:line="214" w:lineRule="exact"/>
        <w:rPr>
          <w:rFonts w:ascii="Times New Roman" w:cs="Times New Roman" w:eastAsia="Times New Roman" w:hAnsi="Times New Roman"/>
          <w:sz w:val="20"/>
          <w:szCs w:val="20"/>
          <w:color w:val="auto"/>
        </w:rPr>
      </w:pPr>
    </w:p>
    <w:p>
      <w:pPr>
        <w:jc w:val="both"/>
        <w:ind w:firstLine="332"/>
        <w:spacing w:after="0" w:line="261" w:lineRule="auto"/>
        <w:tabs>
          <w:tab w:leader="none" w:pos="63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Subsequent Employer</w:t>
      </w:r>
      <w:r>
        <w:rPr>
          <w:rFonts w:ascii="Times New Roman" w:cs="Times New Roman" w:eastAsia="Times New Roman" w:hAnsi="Times New Roman"/>
          <w:sz w:val="20"/>
          <w:szCs w:val="20"/>
          <w:color w:val="auto"/>
        </w:rPr>
        <w:t>. You agree that the Company and/or Affiliate may notify any person or entity hiring or engaging you, or considering hiring or engaging you, to serve as a director, officer, employee, consultant, contractor or advisor, or to provide services or advice in any capacity, of the existence and provisions of this Agreement.</w:t>
      </w:r>
    </w:p>
    <w:p>
      <w:pPr>
        <w:spacing w:after="0" w:line="208" w:lineRule="exact"/>
        <w:rPr>
          <w:rFonts w:ascii="Times New Roman" w:cs="Times New Roman" w:eastAsia="Times New Roman" w:hAnsi="Times New Roman"/>
          <w:sz w:val="20"/>
          <w:szCs w:val="20"/>
          <w:color w:val="auto"/>
        </w:rPr>
      </w:pPr>
    </w:p>
    <w:p>
      <w:pPr>
        <w:jc w:val="both"/>
        <w:ind w:firstLine="332"/>
        <w:spacing w:after="0" w:line="253" w:lineRule="auto"/>
        <w:tabs>
          <w:tab w:leader="none" w:pos="63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THE RESTRICTIVE COVENANTS IN PARAGRAPH 2 OF THIS ANNEX A ARE SUBJECT TO THE SEVERABILITY OR REFORM BY COURT PROVISIONS SET FORTH IN SECTION C.7 OF THE AGREEMENT. TO THE EXTENT PERMISSIBLE, THE SCOPE OF THESE RESTRICTIONS SHOULD BE SUBJECT TO REFORMULATION BY A COURT OF COMPETENT JURISDICTION IN ORDER TO PROTECT THE LEGITIMATE BUSINESS INTERESTS, TRADE SECRETS, AND CONFIDENTIAL INFORMATION OF THE COMPANY AND ITS AFFILIATES TO</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A-5</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20"/>
          <w:szCs w:val="20"/>
          <w:color w:val="auto"/>
        </w:rPr>
        <w:t>THE FULLEST EXTENT PERMITTED BY LAW. EACH OF PARAGRAPHS 2(a), 2(b) AND 2(c) OF THIS ANNEX A IS A SEPARATE AND SEVERABLE COVENANT, AND A PARTICULAR COVENANT WILL NOT APPLY TO, AND WILL NOT BE ENFORCED BY THE COMPANY WITH RESPECT TO, POST–TERMINATION ACTIVITY IN ANY JURISDICTION IN WHICH THAT COVENANT IS NOT ENFORCEABLE UNDER APPLICABLE LAW.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A-6</w:t>
      </w:r>
    </w:p>
    <w:p>
      <w:pPr>
        <w:sectPr>
          <w:pgSz w:w="11900" w:h="16838" w:orient="portrait"/>
          <w:cols w:equalWidth="0" w:num="1">
            <w:col w:w="11240"/>
          </w:cols>
          <w:pgMar w:left="320" w:top="141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Noel Wallace, certify that:</w:t>
      </w:r>
    </w:p>
    <w:p>
      <w:pPr>
        <w:spacing w:after="0" w:line="117"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Colgate-Palmolive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9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Noel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Noel Wallace</w:t>
      </w:r>
    </w:p>
    <w:p>
      <w:pPr>
        <w:spacing w:after="0" w:line="2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Chairman of the Board, President and</w:t>
      </w:r>
    </w:p>
    <w:p>
      <w:pPr>
        <w:jc w:val="center"/>
        <w:ind w:left="64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Stanley J. Sutula III, certify that:</w:t>
      </w:r>
    </w:p>
    <w:p>
      <w:pPr>
        <w:spacing w:after="0" w:line="117"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Colgate-Palmolive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90"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Stanley J. Sutula III</w:t>
      </w:r>
    </w:p>
    <w:p>
      <w:pPr>
        <w:spacing w:after="0" w:line="63"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90" w:name="page91"/>
    <w:bookmarkEnd w:id="90"/>
    <w:p>
      <w:pPr>
        <w:ind w:left="102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undersigned Chairman of the Board, President and Chief Executive Officer and Chief Financial Officer of Colgate-Palmolive Company each certify, pursuant to Rule 13a-14(b) under the Securities Exchange Act of 1934 and 18 U.S.C. § 1350, that:</w:t>
      </w:r>
    </w:p>
    <w:p>
      <w:pPr>
        <w:spacing w:after="0" w:line="283" w:lineRule="exact"/>
        <w:rPr>
          <w:sz w:val="20"/>
          <w:szCs w:val="20"/>
          <w:color w:val="auto"/>
        </w:rPr>
      </w:pPr>
    </w:p>
    <w:p>
      <w:pPr>
        <w:ind w:left="660" w:right="380" w:hanging="328"/>
        <w:spacing w:after="0" w:line="282" w:lineRule="auto"/>
        <w:tabs>
          <w:tab w:leader="none" w:pos="6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30, 2026 (the “Report”) which this statement accompanies fully complies with the requirements of Sections 13(a) and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Colgate-Palmolive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17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Noel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4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Noel Wallace</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3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0"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Stanley J. Sutula III</w:t>
      </w:r>
    </w:p>
    <w:p>
      <w:pPr>
        <w:spacing w:after="0" w:line="6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3"/>
    </w:lvl>
  </w:abstractNum>
  <w:abstractNum w:abstractNumId="6">
    <w:nsid w:val="5C482A97"/>
    <w:multiLevelType w:val="hybridMultilevel"/>
    <w:lvl w:ilvl="0">
      <w:lvlJc w:val="left"/>
      <w:lvlText w:val="%1."/>
      <w:numFmt w:val="decimal"/>
      <w:start w:val="4"/>
    </w:lvl>
  </w:abstractNum>
  <w:abstractNum w:abstractNumId="7">
    <w:nsid w:val="2463B9EA"/>
    <w:multiLevelType w:val="hybridMultilevel"/>
    <w:lvl w:ilvl="0">
      <w:lvlJc w:val="left"/>
      <w:lvlText w:val="%1."/>
      <w:numFmt w:val="decimal"/>
      <w:start w:val="5"/>
    </w:lvl>
  </w:abstractNum>
  <w:abstractNum w:abstractNumId="8">
    <w:nsid w:val="5E884ADC"/>
    <w:multiLevelType w:val="hybridMultilevel"/>
    <w:lvl w:ilvl="0">
      <w:lvlJc w:val="left"/>
      <w:lvlText w:val="%1."/>
      <w:numFmt w:val="decimal"/>
      <w:start w:val="6"/>
    </w:lvl>
  </w:abstractNum>
  <w:abstractNum w:abstractNumId="9">
    <w:nsid w:val="51EAD36B"/>
    <w:multiLevelType w:val="hybridMultilevel"/>
    <w:lvl w:ilvl="0">
      <w:lvlJc w:val="left"/>
      <w:lvlText w:val="%1."/>
      <w:numFmt w:val="decimal"/>
      <w:start w:val="7"/>
    </w:lvl>
  </w:abstractNum>
  <w:abstractNum w:abstractNumId="10">
    <w:nsid w:val="2D517796"/>
    <w:multiLevelType w:val="hybridMultilevel"/>
    <w:lvl w:ilvl="0">
      <w:lvlJc w:val="left"/>
      <w:lvlText w:val="%1."/>
      <w:numFmt w:val="decimal"/>
      <w:start w:val="8"/>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9"/>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32"/>
    </w:lvl>
  </w:abstractNum>
  <w:abstractNum w:abstractNumId="30">
    <w:nsid w:val="749ABB43"/>
    <w:multiLevelType w:val="hybridMultilevel"/>
    <w:lvl w:ilvl="0">
      <w:lvlJc w:val="left"/>
      <w:lvlText w:val="%1"/>
      <w:numFmt w:val="decimal"/>
      <w:start w:val="10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upperLetter"/>
      <w:start w:val="1"/>
    </w:lvl>
    <w:lvl w:ilvl="1">
      <w:lvlJc w:val="left"/>
      <w:lvlText w:val="%2."/>
      <w:numFmt w:val="decimal"/>
      <w:start w:val="1"/>
    </w:lvl>
  </w:abstractNum>
  <w:abstractNum w:abstractNumId="33">
    <w:nsid w:val="79A1DEAA"/>
    <w:multiLevelType w:val="hybridMultilevel"/>
    <w:lvl w:ilvl="0">
      <w:lvlJc w:val="left"/>
      <w:lvlText w:val="%1"/>
      <w:numFmt w:val="upperLetter"/>
      <w:start w:val="1"/>
    </w:lvl>
    <w:lvl w:ilvl="1">
      <w:lvlJc w:val="left"/>
      <w:lvlText w:val="%2."/>
      <w:numFmt w:val="decimal"/>
      <w:start w:val="4"/>
    </w:lvl>
  </w:abstractNum>
  <w:abstractNum w:abstractNumId="34">
    <w:nsid w:val="75C6C33A"/>
    <w:multiLevelType w:val="hybridMultilevel"/>
    <w:lvl w:ilvl="0">
      <w:lvlJc w:val="left"/>
      <w:lvlText w:val="%1."/>
      <w:numFmt w:val="upperLetter"/>
      <w:start w:val="2"/>
    </w:lvl>
    <w:lvl w:ilvl="1">
      <w:lvlJc w:val="left"/>
      <w:lvlText w:val="%2."/>
      <w:numFmt w:val="decimal"/>
      <w:start w:val="1"/>
    </w:lvl>
  </w:abstractNum>
  <w:abstractNum w:abstractNumId="35">
    <w:nsid w:val="12E685FB"/>
    <w:multiLevelType w:val="hybridMultilevel"/>
    <w:lvl w:ilvl="0">
      <w:lvlJc w:val="left"/>
      <w:lvlText w:val="%1."/>
      <w:numFmt w:val="decimal"/>
      <w:start w:val="5"/>
    </w:lvl>
  </w:abstractNum>
  <w:abstractNum w:abstractNumId="36">
    <w:nsid w:val="70C6A529"/>
    <w:multiLevelType w:val="hybridMultilevel"/>
    <w:lvl w:ilvl="0">
      <w:lvlJc w:val="left"/>
      <w:lvlText w:val="%1."/>
      <w:numFmt w:val="decimal"/>
      <w:start w:val="9"/>
    </w:lvl>
  </w:abstractNum>
  <w:abstractNum w:abstractNumId="37">
    <w:nsid w:val="520EEDD1"/>
    <w:multiLevelType w:val="hybridMultilevel"/>
    <w:lvl w:ilvl="0">
      <w:lvlJc w:val="left"/>
      <w:lvlText w:val="%1."/>
      <w:numFmt w:val="decimal"/>
      <w:start w:val="13"/>
    </w:lvl>
  </w:abstractNum>
  <w:abstractNum w:abstractNumId="38">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9">
    <w:nsid w:val="4F4EF005"/>
    <w:multiLevelType w:val="hybridMultilevel"/>
    <w:lvl w:ilvl="0">
      <w:lvlJc w:val="left"/>
      <w:lvlText w:val="%1"/>
      <w:numFmt w:val="lowerLetter"/>
      <w:start w:val="1"/>
    </w:lvl>
    <w:lvl w:ilvl="1">
      <w:lvlJc w:val="left"/>
      <w:lvlText w:val="%2."/>
      <w:numFmt w:val="lowerLetter"/>
      <w:start w:val="35"/>
    </w:lvl>
  </w:abstractNum>
  <w:abstractNum w:abstractNumId="40">
    <w:nsid w:val="23F9C13C"/>
    <w:multiLevelType w:val="hybridMultilevel"/>
    <w:lvl w:ilvl="0">
      <w:lvlJc w:val="left"/>
      <w:lvlText w:val="%1."/>
      <w:numFmt w:val="lowerLetter"/>
      <w:start w:val="2"/>
    </w:lvl>
    <w:lvl w:ilvl="1">
      <w:lvlJc w:val="left"/>
      <w:lvlText w:val="%2."/>
      <w:numFmt w:val="lowerLetter"/>
      <w:start w:val="9"/>
    </w:lvl>
  </w:abstractNum>
  <w:abstractNum w:abstractNumId="41">
    <w:nsid w:val="649BB77C"/>
    <w:multiLevelType w:val="hybridMultilevel"/>
    <w:lvl w:ilvl="0">
      <w:lvlJc w:val="left"/>
      <w:lvlText w:val="%1"/>
      <w:numFmt w:val="lowerLetter"/>
      <w:start w:val="1"/>
    </w:lvl>
    <w:lvl w:ilvl="1">
      <w:lvlJc w:val="left"/>
      <w:lvlText w:val="%2."/>
      <w:numFmt w:val="lowerRoman"/>
      <w:start w:val="2"/>
    </w:lvl>
  </w:abstractNum>
  <w:abstractNum w:abstractNumId="42">
    <w:nsid w:val="275AC794"/>
    <w:multiLevelType w:val="hybridMultilevel"/>
    <w:lvl w:ilvl="0">
      <w:lvlJc w:val="left"/>
      <w:lvlText w:val="%1."/>
      <w:numFmt w:val="lowerLetter"/>
      <w:start w:val="3"/>
    </w:lvl>
    <w:lvl w:ilvl="1">
      <w:lvlJc w:val="left"/>
      <w:lvlText w:val="%2."/>
      <w:numFmt w:val="lowerRoman"/>
      <w:start w:val="1"/>
    </w:lvl>
  </w:abstractNum>
  <w:abstractNum w:abstractNumId="43">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4">
    <w:nsid w:val="1CF10FD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5">
    <w:nsid w:val="180115BE"/>
    <w:multiLevelType w:val="hybridMultilevel"/>
    <w:lvl w:ilvl="0">
      <w:lvlJc w:val="left"/>
      <w:lvlText w:val="%1"/>
      <w:numFmt w:val="lowerLetter"/>
      <w:start w:val="1"/>
    </w:lvl>
    <w:lvl w:ilvl="1">
      <w:lvlJc w:val="left"/>
      <w:lvlText w:val="%2."/>
      <w:numFmt w:val="decimal"/>
      <w:start w:val="4"/>
    </w:lvl>
  </w:abstractNum>
  <w:abstractNum w:abstractNumId="46">
    <w:nsid w:val="235BA861"/>
    <w:multiLevelType w:val="hybridMultilevel"/>
    <w:lvl w:ilvl="0">
      <w:lvlJc w:val="left"/>
      <w:lvlText w:val="(%1)"/>
      <w:numFmt w:val="lowerLetter"/>
      <w:start w:val="2"/>
    </w:lvl>
    <w:lvl w:ilvl="1">
      <w:lvlJc w:val="left"/>
      <w:lvlText w:val="%2"/>
      <w:numFmt w:val="decimal"/>
      <w:start w:val="1"/>
    </w:lvl>
  </w:abstractNum>
  <w:abstractNum w:abstractNumId="47">
    <w:nsid w:val="47398C89"/>
    <w:multiLevelType w:val="hybridMultilevel"/>
    <w:lvl w:ilvl="0">
      <w:lvlJc w:val="left"/>
      <w:lvlText w:val="%1"/>
      <w:numFmt w:val="lowerRoman"/>
      <w:start w:val="1"/>
    </w:lvl>
    <w:lvl w:ilvl="1">
      <w:lvlJc w:val="left"/>
      <w:lvlText w:val="%2."/>
      <w:numFmt w:val="decimal"/>
      <w:start w:val="6"/>
    </w:lvl>
  </w:abstractNum>
  <w:abstractNum w:abstractNumId="48">
    <w:nsid w:val="354FE9F9"/>
    <w:multiLevelType w:val="hybridMultilevel"/>
    <w:lvl w:ilvl="0">
      <w:lvlJc w:val="left"/>
      <w:lvlText w:val="(%1)"/>
      <w:numFmt w:val="lowerRoman"/>
      <w:start w:val="1"/>
    </w:lvl>
    <w:lvl w:ilvl="1">
      <w:lvlJc w:val="left"/>
      <w:lvlText w:val="%2"/>
      <w:numFmt w:val="decimal"/>
      <w:start w:val="1"/>
    </w:lvl>
  </w:abstractNum>
  <w:abstractNum w:abstractNumId="49">
    <w:nsid w:val="15B5AF5C"/>
    <w:multiLevelType w:val="hybridMultilevel"/>
    <w:lvl w:ilvl="0">
      <w:lvlJc w:val="left"/>
      <w:lvlText w:val="%1."/>
      <w:numFmt w:val="decimal"/>
      <w:start w:val="7"/>
    </w:lvl>
  </w:abstractNum>
  <w:abstractNum w:abstractNumId="50">
    <w:nsid w:val="741226BB"/>
    <w:multiLevelType w:val="hybridMultilevel"/>
    <w:lvl w:ilvl="0">
      <w:lvlJc w:val="left"/>
      <w:lvlText w:val="%1."/>
      <w:numFmt w:val="upperLetter"/>
      <w:start w:val="1"/>
    </w:lvl>
    <w:lvl w:ilvl="1">
      <w:lvlJc w:val="left"/>
      <w:lvlText w:val="%2."/>
      <w:numFmt w:val="decimal"/>
      <w:start w:val="1"/>
    </w:lvl>
  </w:abstractNum>
  <w:abstractNum w:abstractNumId="51">
    <w:nsid w:val="D34B6A8"/>
    <w:multiLevelType w:val="hybridMultilevel"/>
    <w:lvl w:ilvl="0">
      <w:lvlJc w:val="left"/>
      <w:lvlText w:val="%1."/>
      <w:numFmt w:val="upperLetter"/>
      <w:start w:val="3"/>
    </w:lvl>
    <w:lvl w:ilvl="1">
      <w:lvlJc w:val="left"/>
      <w:lvlText w:val="%2."/>
      <w:numFmt w:val="decimal"/>
      <w:start w:val="1"/>
    </w:lvl>
  </w:abstractNum>
  <w:abstractNum w:abstractNumId="52">
    <w:nsid w:val="10233C99"/>
    <w:multiLevelType w:val="hybridMultilevel"/>
    <w:lvl w:ilvl="0">
      <w:lvlJc w:val="left"/>
      <w:lvlText w:val="%1."/>
      <w:numFmt w:val="decimal"/>
      <w:start w:val="7"/>
    </w:lvl>
  </w:abstractNum>
  <w:abstractNum w:abstractNumId="53">
    <w:nsid w:val="3F6AB60F"/>
    <w:multiLevelType w:val="hybridMultilevel"/>
    <w:lvl w:ilvl="0">
      <w:lvlJc w:val="left"/>
      <w:lvlText w:val="%1."/>
      <w:numFmt w:val="decimal"/>
      <w:start w:val="12"/>
    </w:lvl>
  </w:abstractNum>
  <w:abstractNum w:abstractNumId="54">
    <w:nsid w:val="61574095"/>
    <w:multiLevelType w:val="hybridMultilevel"/>
    <w:lvl w:ilvl="0">
      <w:lvlJc w:val="left"/>
      <w:lvlText w:val="%1."/>
      <w:numFmt w:val="decimal"/>
      <w:start w:val="13"/>
    </w:lvl>
  </w:abstractNum>
  <w:abstractNum w:abstractNumId="55">
    <w:nsid w:val="7E0C57B1"/>
    <w:multiLevelType w:val="hybridMultilevel"/>
    <w:lvl w:ilvl="0">
      <w:lvlJc w:val="left"/>
      <w:lvlText w:val="%1."/>
      <w:numFmt w:val="decimal"/>
      <w:start w:val="14"/>
    </w:lvl>
  </w:abstractNum>
  <w:abstractNum w:abstractNumId="56">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7">
    <w:nsid w:val="579BE4F1"/>
    <w:multiLevelType w:val="hybridMultilevel"/>
    <w:lvl w:ilvl="0">
      <w:lvlJc w:val="left"/>
      <w:lvlText w:val="%1"/>
      <w:numFmt w:val="lowerLetter"/>
      <w:start w:val="1"/>
    </w:lvl>
    <w:lvl w:ilvl="1">
      <w:lvlJc w:val="left"/>
      <w:lvlText w:val="%2."/>
      <w:numFmt w:val="lowerLetter"/>
      <w:start w:val="35"/>
    </w:lvl>
  </w:abstractNum>
  <w:abstractNum w:abstractNumId="58">
    <w:nsid w:val="310C50B3"/>
    <w:multiLevelType w:val="hybridMultilevel"/>
    <w:lvl w:ilvl="0">
      <w:lvlJc w:val="left"/>
      <w:lvlText w:val="%1."/>
      <w:numFmt w:val="lowerLetter"/>
      <w:start w:val="2"/>
    </w:lvl>
    <w:lvl w:ilvl="1">
      <w:lvlJc w:val="left"/>
      <w:lvlText w:val="%2."/>
      <w:numFmt w:val="lowerLetter"/>
      <w:start w:val="9"/>
    </w:lvl>
  </w:abstractNum>
  <w:abstractNum w:abstractNumId="59">
    <w:nsid w:val="5FF87E05"/>
    <w:multiLevelType w:val="hybridMultilevel"/>
    <w:lvl w:ilvl="0">
      <w:lvlJc w:val="left"/>
      <w:lvlText w:val="%1"/>
      <w:numFmt w:val="lowerLetter"/>
      <w:start w:val="1"/>
    </w:lvl>
    <w:lvl w:ilvl="1">
      <w:lvlJc w:val="left"/>
      <w:lvlText w:val="%2."/>
      <w:numFmt w:val="lowerRoman"/>
      <w:start w:val="2"/>
    </w:lvl>
  </w:abstractNum>
  <w:abstractNum w:abstractNumId="60">
    <w:nsid w:val="2F305DEF"/>
    <w:multiLevelType w:val="hybridMultilevel"/>
    <w:lvl w:ilvl="0">
      <w:lvlJc w:val="left"/>
      <w:lvlText w:val="%1."/>
      <w:numFmt w:val="lowerLetter"/>
      <w:start w:val="3"/>
    </w:lvl>
    <w:lvl w:ilvl="1">
      <w:lvlJc w:val="left"/>
      <w:lvlText w:val="%2."/>
      <w:numFmt w:val="lowerRoman"/>
      <w:start w:val="1"/>
    </w:lvl>
  </w:abstractNum>
  <w:abstractNum w:abstractNumId="61">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2">
    <w:nsid w:val="1DBABF0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3">
    <w:nsid w:val="4AD084E9"/>
    <w:multiLevelType w:val="hybridMultilevel"/>
    <w:lvl w:ilvl="0">
      <w:lvlJc w:val="left"/>
      <w:lvlText w:val="%1"/>
      <w:numFmt w:val="lowerLetter"/>
      <w:start w:val="1"/>
    </w:lvl>
    <w:lvl w:ilvl="1">
      <w:lvlJc w:val="left"/>
      <w:lvlText w:val="%2."/>
      <w:numFmt w:val="decimal"/>
      <w:start w:val="4"/>
    </w:lvl>
  </w:abstractNum>
  <w:abstractNum w:abstractNumId="64">
    <w:nsid w:val="1F48EAA1"/>
    <w:multiLevelType w:val="hybridMultilevel"/>
    <w:lvl w:ilvl="0">
      <w:lvlJc w:val="left"/>
      <w:lvlText w:val="(%1)"/>
      <w:numFmt w:val="lowerLetter"/>
      <w:start w:val="2"/>
    </w:lvl>
    <w:lvl w:ilvl="1">
      <w:lvlJc w:val="left"/>
      <w:lvlText w:val="%2."/>
      <w:numFmt w:val="decimal"/>
      <w:start w:val="6"/>
    </w:lvl>
  </w:abstractNum>
  <w:abstractNum w:abstractNumId="65">
    <w:nsid w:val="1381823A"/>
    <w:multiLevelType w:val="hybridMultilevel"/>
    <w:lvl w:ilvl="0">
      <w:lvlJc w:val="left"/>
      <w:lvlText w:val="%1."/>
      <w:numFmt w:val="decimal"/>
      <w:start w:val="7"/>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2026-10-30T07:37:37Z</dcterms:created>
  <dcterms:modified xsi:type="dcterms:W3CDTF">2026-10-30T07:37:37Z</dcterms:modified>
</cp:coreProperties>
</file>