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Malcolm Gregory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COLGATE-PALMOLIVE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PARK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COLGATE PALMOLIVE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9"/>
        <w:gridCol w:w="901"/>
        <w:gridCol w:w="771"/>
        <w:gridCol w:w="598"/>
        <w:gridCol w:w="347"/>
        <w:gridCol w:w="843"/>
        <w:gridCol w:w="453"/>
        <w:gridCol w:w="837"/>
        <w:gridCol w:w="1160"/>
        <w:gridCol w:w="99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14,162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8,650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Issuer's 401(k) Plan Trustee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87.02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7,477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7,477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 award granted under the issuer's incentive compensation plan. The restricted stock unit award vests in equal 1/3 installments on each of the first, second and third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option award granted under the issuer's incentive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Option becomes exercisable in one-third increments beginning on the first anniversary of the September 16, 2026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Kristine Hutchinson,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4254" TargetMode="External"/><Relationship Id="rId5" Type="http://schemas.openxmlformats.org/officeDocument/2006/relationships/hyperlink" Target="http://www.sec.gov/cgi-bin/browse-edgar?action=getcompany&amp;CIK=0000021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657</Words>
  <Characters>3591</Characters>
  <CharactersWithSpaces>4162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