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175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67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Tsourapas Panagiotis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20"/>
        <w:spacing w:after="0" w:line="308" w:lineRule="auto"/>
        <w:rPr>
          <w:sz w:val="20"/>
          <w:szCs w:val="20"/>
          <w:color w:val="auto"/>
        </w:rPr>
      </w:pPr>
      <w:r>
        <w:rPr>
          <w:rFonts w:ascii="Times New Roman" w:cs="Times New Roman" w:eastAsia="Times New Roman" w:hAnsi="Times New Roman"/>
          <w:sz w:val="17"/>
          <w:szCs w:val="17"/>
          <w:color w:val="0000FF"/>
        </w:rPr>
        <w:t>C/O COLGATE-PALMOLIVE COMPANY 300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COLGATE PALMOLIVE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0000FF"/>
        </w:rPr>
        <w:t>COO, CD, EMEA, APac, Skin</w:t>
      </w:r>
    </w:p>
    <w:p>
      <w:pPr>
        <w:spacing w:after="0" w:line="436" w:lineRule="exact"/>
        <w:rPr>
          <w:sz w:val="24"/>
          <w:szCs w:val="24"/>
          <w:color w:val="auto"/>
        </w:rPr>
      </w:pPr>
    </w:p>
    <w:p>
      <w:pPr>
        <w:sectPr>
          <w:pgSz w:w="11900" w:h="16838" w:orient="portrait"/>
          <w:cols w:equalWidth="0" w:num="3">
            <w:col w:w="3200" w:space="720"/>
            <w:col w:w="3100" w:space="720"/>
            <w:col w:w="3340"/>
          </w:cols>
          <w:pgMar w:left="460" w:top="217" w:right="359" w:bottom="678"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1"/>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8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11/04/2026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19,938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76.41</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29,049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11/04/2026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19,938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98.7415</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9,111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Issuer's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4,645</w:t>
            </w:r>
          </w:p>
        </w:tc>
        <w:tc>
          <w:tcPr>
            <w:tcW w:w="260" w:type="dxa"/>
            <w:vAlign w:val="bottom"/>
          </w:tcPr>
          <w:p>
            <w:pPr>
              <w:spacing w:after="0"/>
              <w:rPr>
                <w:sz w:val="17"/>
                <w:szCs w:val="17"/>
                <w:color w:val="auto"/>
              </w:rPr>
            </w:pPr>
          </w:p>
        </w:tc>
        <w:tc>
          <w:tcPr>
            <w:tcW w:w="66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5"/>
              </w:rPr>
              <w:t>67,237</w:t>
            </w:r>
            <w:r>
              <w:rPr>
                <w:rFonts w:ascii="Times New Roman" w:cs="Times New Roman" w:eastAsia="Times New Roman" w:hAnsi="Times New Roman"/>
                <w:sz w:val="21"/>
                <w:szCs w:val="21"/>
                <w:color w:val="008000"/>
                <w:w w:val="95"/>
                <w:vertAlign w:val="superscript"/>
              </w:rPr>
              <w:t>(4)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76.41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11/04/2026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19,938</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09/10/2028</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19,938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0.0000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Exercise of stock options awarded under the issuer's incentive compensation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with a portion of the proceeds delivered to the issuer for payment of the exercise price of options under the issuer's incentive compensation plan and the related tax withholding.</w:t>
      </w:r>
    </w:p>
    <w:p>
      <w:pPr>
        <w:spacing w:after="0" w:line="43" w:lineRule="exact"/>
        <w:rPr>
          <w:rFonts w:ascii="Times New Roman" w:cs="Times New Roman" w:eastAsia="Times New Roman" w:hAnsi="Times New Roman"/>
          <w:sz w:val="13"/>
          <w:szCs w:val="13"/>
          <w:color w:val="008000"/>
        </w:rPr>
      </w:pPr>
    </w:p>
    <w:p>
      <w:pPr>
        <w:ind w:left="40" w:right="28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Weighted average price, as these shares were sold in multiple transactions at prices ranging from $98.585 to $98.97,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2,336 shares that were previously reported as directly beneficially owned.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became exercisable in one-third increments beginning on the first anniversary of the September 10, 2020 grant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Kristine Hutchinson,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11/06/2026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6945" TargetMode="External"/><Relationship Id="rId14" Type="http://schemas.openxmlformats.org/officeDocument/2006/relationships/hyperlink" Target="http://www.sec.gov/cgi-bin/browse-edgar?action=getcompany&amp;CIK=0000021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2026-11-06T15:15:01Z</dcterms:created>
  <dcterms:modified xsi:type="dcterms:W3CDTF">2026-11-06T15:15:01Z</dcterms:modified>
</cp:coreProperties>
</file>