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ind w:left="4840"/>
        <w:spacing w:after="0"/>
        <w:rPr>
          <w:sz w:val="20"/>
          <w:szCs w:val="20"/>
          <w:color w:val="auto"/>
        </w:rPr>
      </w:pPr>
      <w:r>
        <w:rPr>
          <w:rFonts w:ascii="Times New Roman" w:cs="Times New Roman" w:eastAsia="Times New Roman" w:hAnsi="Times New Roman"/>
          <w:sz w:val="20"/>
          <w:szCs w:val="20"/>
          <w:color w:val="auto"/>
        </w:rPr>
        <w:t>________________</w:t>
      </w:r>
    </w:p>
    <w:p>
      <w:pPr>
        <w:spacing w:after="0" w:line="21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3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w:t>
      </w: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22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Date of Report (Date of earliest event reported) October 30, 2026</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COLGATE-PALMOLIVE COMPANY</w:t>
      </w:r>
    </w:p>
    <w:p>
      <w:pPr>
        <w:spacing w:after="0" w:line="2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266" w:lineRule="exact"/>
        <w:rPr>
          <w:sz w:val="24"/>
          <w:szCs w:val="24"/>
          <w:color w:val="auto"/>
        </w:rPr>
      </w:pPr>
    </w:p>
    <w:tbl>
      <w:tblPr>
        <w:tblLayout w:type="fixed"/>
        <w:tblInd w:w="88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Delaware</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1-644</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6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13-1815595</w:t>
            </w:r>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77"/>
        </w:trPr>
        <w:tc>
          <w:tcPr>
            <w:tcW w:w="3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4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(Commission File Number)</w:t>
            </w:r>
          </w:p>
        </w:tc>
        <w:tc>
          <w:tcPr>
            <w:tcW w:w="27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594"/>
        </w:trPr>
        <w:tc>
          <w:tcPr>
            <w:tcW w:w="1260" w:type="dxa"/>
            <w:vAlign w:val="bottom"/>
          </w:tcPr>
          <w:p>
            <w:pPr>
              <w:spacing w:after="0"/>
              <w:rPr>
                <w:sz w:val="24"/>
                <w:szCs w:val="24"/>
                <w:color w:val="auto"/>
              </w:rPr>
            </w:pPr>
          </w:p>
        </w:tc>
        <w:tc>
          <w:tcPr>
            <w:tcW w:w="2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300 Park Avenue, New York,</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NY</w:t>
            </w:r>
          </w:p>
        </w:tc>
        <w:tc>
          <w:tcPr>
            <w:tcW w:w="274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color w:val="auto"/>
              </w:rPr>
              <w:t>10022</w:t>
            </w: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128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77"/>
        </w:trPr>
        <w:tc>
          <w:tcPr>
            <w:tcW w:w="4140" w:type="dxa"/>
            <w:vAlign w:val="bottom"/>
            <w:gridSpan w:val="9"/>
          </w:tcPr>
          <w:p>
            <w:pPr>
              <w:ind w:left="10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(Zip Code)</w:t>
            </w: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200" w:lineRule="exact"/>
        <w:rPr>
          <w:sz w:val="24"/>
          <w:szCs w:val="24"/>
          <w:color w:val="auto"/>
        </w:rPr>
      </w:pPr>
    </w:p>
    <w:p>
      <w:pPr>
        <w:spacing w:after="0" w:line="37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u w:val="single" w:color="auto"/>
          <w:color w:val="auto"/>
        </w:rPr>
        <w:t>(212) 310-2000</w:t>
      </w:r>
    </w:p>
    <w:p>
      <w:pPr>
        <w:spacing w:after="0" w:line="200" w:lineRule="exact"/>
        <w:rPr>
          <w:sz w:val="24"/>
          <w:szCs w:val="24"/>
          <w:color w:val="auto"/>
        </w:rPr>
      </w:pPr>
    </w:p>
    <w:p>
      <w:pPr>
        <w:spacing w:after="0" w:line="282" w:lineRule="exact"/>
        <w:rPr>
          <w:sz w:val="24"/>
          <w:szCs w:val="24"/>
          <w:color w:val="auto"/>
        </w:rPr>
      </w:pPr>
    </w:p>
    <w:p>
      <w:pPr>
        <w:ind w:right="540" w:hanging="1"/>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75" w:lineRule="exact"/>
        <w:rPr>
          <w:sz w:val="24"/>
          <w:szCs w:val="24"/>
          <w:color w:val="auto"/>
        </w:rPr>
      </w:pPr>
    </w:p>
    <w:p>
      <w:pPr>
        <w:ind w:left="320" w:hanging="314"/>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20" w:hanging="314"/>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20" w:hanging="314"/>
        <w:spacing w:after="0" w:line="234" w:lineRule="auto"/>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ind w:left="320" w:hanging="314"/>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Securities 12(b) of the Act:</w:t>
      </w:r>
    </w:p>
    <w:p>
      <w:pPr>
        <w:spacing w:after="0" w:line="196"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3720" w:type="dxa"/>
            <w:vAlign w:val="bottom"/>
            <w:tcBorders>
              <w:top w:val="single" w:sz="8" w:color="auto"/>
              <w:left w:val="single" w:sz="8" w:color="auto"/>
              <w:right w:val="single" w:sz="8" w:color="auto"/>
            </w:tcBorders>
          </w:tcPr>
          <w:p>
            <w:pPr>
              <w:spacing w:after="0"/>
              <w:rPr>
                <w:sz w:val="20"/>
                <w:szCs w:val="20"/>
                <w:color w:val="auto"/>
              </w:rPr>
            </w:pPr>
          </w:p>
        </w:tc>
        <w:tc>
          <w:tcPr>
            <w:tcW w:w="3140" w:type="dxa"/>
            <w:vAlign w:val="bottom"/>
            <w:tcBorders>
              <w:top w:val="single" w:sz="8" w:color="auto"/>
              <w:right w:val="single" w:sz="8" w:color="auto"/>
            </w:tcBorders>
          </w:tcPr>
          <w:p>
            <w:pPr>
              <w:spacing w:after="0"/>
              <w:rPr>
                <w:sz w:val="20"/>
                <w:szCs w:val="20"/>
                <w:color w:val="auto"/>
              </w:rPr>
            </w:pPr>
          </w:p>
        </w:tc>
        <w:tc>
          <w:tcPr>
            <w:tcW w:w="3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5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$1.00 par value</w:t>
            </w:r>
          </w:p>
        </w:tc>
        <w:tc>
          <w:tcPr>
            <w:tcW w:w="3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CL</w:t>
            </w: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5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0.300% Notes due 2029</w:t>
            </w:r>
          </w:p>
        </w:tc>
        <w:tc>
          <w:tcPr>
            <w:tcW w:w="3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CL29</w:t>
            </w: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5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1.375% Notes due 2034</w:t>
            </w:r>
          </w:p>
        </w:tc>
        <w:tc>
          <w:tcPr>
            <w:tcW w:w="3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CL34</w:t>
            </w: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5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3.250% Notes due 2035</w:t>
            </w:r>
          </w:p>
        </w:tc>
        <w:tc>
          <w:tcPr>
            <w:tcW w:w="3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CL35</w:t>
            </w: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5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0.875% Notes due 2039</w:t>
            </w:r>
          </w:p>
        </w:tc>
        <w:tc>
          <w:tcPr>
            <w:tcW w:w="3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CL39</w:t>
            </w: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373" w:lineRule="exact"/>
        <w:rPr>
          <w:sz w:val="24"/>
          <w:szCs w:val="24"/>
          <w:color w:val="auto"/>
        </w:rPr>
      </w:pPr>
    </w:p>
    <w:p>
      <w:pPr>
        <w:ind w:hanging="1"/>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4" w:lineRule="exact"/>
        <w:rPr>
          <w:sz w:val="24"/>
          <w:szCs w:val="24"/>
          <w:color w:val="auto"/>
        </w:rPr>
      </w:pPr>
    </w:p>
    <w:p>
      <w:pPr>
        <w:ind w:right="20" w:hanging="1"/>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71" w:right="47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October 30, 2026, Colgate-Palmolive Company (the “Company”) issued a press release announcing its earnings for the quarter ended September 30, 2026. This press release is attached as Exhibit 99 and is incorporated herein by reference.</w:t>
      </w:r>
    </w:p>
    <w:p>
      <w:pPr>
        <w:spacing w:after="0" w:line="189" w:lineRule="exact"/>
        <w:rPr>
          <w:sz w:val="20"/>
          <w:szCs w:val="20"/>
          <w:color w:val="auto"/>
        </w:rPr>
      </w:pPr>
    </w:p>
    <w:p>
      <w:pPr>
        <w:ind w:hanging="1"/>
        <w:spacing w:after="0" w:line="266" w:lineRule="auto"/>
        <w:rPr>
          <w:sz w:val="20"/>
          <w:szCs w:val="20"/>
          <w:color w:val="auto"/>
        </w:rPr>
      </w:pPr>
      <w:r>
        <w:rPr>
          <w:rFonts w:ascii="Times New Roman" w:cs="Times New Roman" w:eastAsia="Times New Roman" w:hAnsi="Times New Roman"/>
          <w:sz w:val="18"/>
          <w:szCs w:val="18"/>
          <w:color w:val="auto"/>
        </w:rPr>
        <w:t>The information in Item 2.02 of this Current Report is being furnished and shall not be deemed “filed” for the purposes of Section 18 of the Securities Exchange Act of 1934, as amended, or otherwise subject to the liabilities of that Section. The information in Item 2.02 of this Current Report shall not be incorporated by reference into any registration statement or other document pursuant to the Securities Act of 1933, as amended.</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i w:val="1"/>
          <w:iCs w:val="1"/>
          <w:color w:val="auto"/>
        </w:rPr>
        <w:t>Exhibits</w:t>
      </w:r>
      <w:r>
        <w:rPr>
          <w:rFonts w:ascii="Times New Roman" w:cs="Times New Roman" w:eastAsia="Times New Roman" w:hAnsi="Times New Roman"/>
          <w:sz w:val="17"/>
          <w:szCs w:val="17"/>
          <w:color w:val="auto"/>
        </w:rPr>
        <w:t>. The following exhibits are filed with this document:</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520"/>
        </w:trPr>
        <w:tc>
          <w:tcPr>
            <w:tcW w:w="1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99</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Press release, dated October 30, 2026, issued by Colgate-Palmolive Company</w:t>
            </w:r>
          </w:p>
        </w:tc>
      </w:tr>
    </w:tbl>
    <w:p>
      <w:pPr>
        <w:spacing w:after="0" w:line="333" w:lineRule="exact"/>
        <w:rPr>
          <w:sz w:val="20"/>
          <w:szCs w:val="20"/>
          <w:color w:val="auto"/>
        </w:rPr>
      </w:pPr>
    </w:p>
    <w:p>
      <w:pPr>
        <w:ind w:left="1500" w:hanging="1474"/>
        <w:spacing w:after="0"/>
        <w:tabs>
          <w:tab w:leader="none" w:pos="1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eXtensible Business Reporting Language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7"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68" w:right="5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51" w:lineRule="exact"/>
        <w:rPr>
          <w:sz w:val="20"/>
          <w:szCs w:val="20"/>
          <w:color w:val="auto"/>
        </w:rPr>
      </w:pPr>
    </w:p>
    <w:p>
      <w:pPr>
        <w:ind w:hanging="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3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FFFFFF"/>
        </w:rPr>
        <w:t>&gt;</w:t>
      </w:r>
    </w:p>
    <w:p>
      <w:pPr>
        <w:spacing w:after="0" w:line="3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324" w:lineRule="exact"/>
        <w:rPr>
          <w:sz w:val="20"/>
          <w:szCs w:val="20"/>
          <w:color w:val="auto"/>
        </w:rPr>
      </w:pPr>
    </w:p>
    <w:p>
      <w:pPr>
        <w:ind w:left="20"/>
        <w:spacing w:after="0"/>
        <w:tabs>
          <w:tab w:leader="none" w:pos="6680" w:val="left"/>
        </w:tabs>
        <w:rPr>
          <w:sz w:val="20"/>
          <w:szCs w:val="20"/>
          <w:color w:val="auto"/>
        </w:rPr>
      </w:pPr>
      <w:r>
        <w:rPr>
          <w:rFonts w:ascii="Times New Roman" w:cs="Times New Roman" w:eastAsia="Times New Roman" w:hAnsi="Times New Roman"/>
          <w:sz w:val="18"/>
          <w:szCs w:val="18"/>
          <w:color w:val="auto"/>
        </w:rPr>
        <w:t>Date: October 30, 2026</w:t>
      </w:r>
      <w:r>
        <w:rPr>
          <w:sz w:val="20"/>
          <w:szCs w:val="20"/>
          <w:color w:val="auto"/>
        </w:rPr>
        <w:tab/>
      </w:r>
      <w:r>
        <w:rPr>
          <w:rFonts w:ascii="Times New Roman" w:cs="Times New Roman" w:eastAsia="Times New Roman" w:hAnsi="Times New Roman"/>
          <w:sz w:val="18"/>
          <w:szCs w:val="18"/>
          <w:color w:val="auto"/>
        </w:rPr>
        <w:t>By: /s/ Stanley J. Sutula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0</wp:posOffset>
            </wp:positionV>
            <wp:extent cx="11868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spacing w:after="0" w:line="4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Name: Stanley J. Sutula III</w:t>
      </w:r>
    </w:p>
    <w:p>
      <w:pPr>
        <w:spacing w:after="0" w:line="50"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320" w:top="963"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242424"/>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140335</wp:posOffset>
            </wp:positionV>
            <wp:extent cx="2880360" cy="360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8036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Colgate-Palmolive Announces 3rd Quarter 2026 Results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60" w:right="20" w:hanging="328"/>
        <w:spacing w:after="0" w:line="358"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2"/>
          <w:szCs w:val="22"/>
          <w:color w:val="auto"/>
        </w:rPr>
        <w:t>Net sales increased 4.6%; Organic sales* increased 3.6%, including a 0.2% negative impact from lower private label pet food sales</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GAAP EPS increased 3% to $0.94; Base Business EPS* increased 7% to $0.97</w:t>
      </w:r>
    </w:p>
    <w:p>
      <w:pPr>
        <w:spacing w:after="0" w:line="125" w:lineRule="exact"/>
        <w:rPr>
          <w:rFonts w:ascii="Arial" w:cs="Arial" w:eastAsia="Arial" w:hAnsi="Arial"/>
          <w:sz w:val="22"/>
          <w:szCs w:val="22"/>
          <w:color w:val="auto"/>
        </w:rPr>
      </w:pPr>
    </w:p>
    <w:p>
      <w:pPr>
        <w:ind w:left="660" w:right="160" w:hanging="328"/>
        <w:spacing w:after="0" w:line="352"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2"/>
          <w:szCs w:val="22"/>
          <w:color w:val="auto"/>
        </w:rPr>
        <w:t>GAAP Gross profit margin increased 80 basis points to 60.2%; Base Business Gross profit margin* increased 90 basis points to 60.3%</w:t>
      </w: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Net cash provided by operations was $2,913 million for the first nine months of 2026</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Company’s leadership in toothpaste continued with its global market share at 41.4% year to date</w:t>
      </w:r>
    </w:p>
    <w:p>
      <w:pPr>
        <w:spacing w:after="0" w:line="125" w:lineRule="exact"/>
        <w:rPr>
          <w:rFonts w:ascii="Arial" w:cs="Arial" w:eastAsia="Arial" w:hAnsi="Arial"/>
          <w:sz w:val="22"/>
          <w:szCs w:val="22"/>
          <w:color w:val="auto"/>
        </w:rPr>
      </w:pPr>
    </w:p>
    <w:p>
      <w:pPr>
        <w:ind w:left="660" w:right="420" w:hanging="328"/>
        <w:spacing w:after="0" w:line="358"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Company’s leadership in manual toothbrushes continued with its global market share at 33.1% year to date</w:t>
      </w:r>
    </w:p>
    <w:p>
      <w:pPr>
        <w:spacing w:after="0" w:line="1" w:lineRule="exact"/>
        <w:rPr>
          <w:rFonts w:ascii="Arial" w:cs="Arial" w:eastAsia="Arial" w:hAnsi="Arial"/>
          <w:sz w:val="22"/>
          <w:szCs w:val="22"/>
          <w:color w:val="auto"/>
        </w:rPr>
      </w:pPr>
    </w:p>
    <w:p>
      <w:pPr>
        <w:ind w:left="660" w:right="140" w:hanging="328"/>
        <w:spacing w:after="0" w:line="387"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Company narrowed its sales guidance and raised its gross profit margin and Base Business earnings per share guidance for full year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99060</wp:posOffset>
            </wp:positionV>
            <wp:extent cx="5726430" cy="660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26430" cy="660400"/>
                    </a:xfrm>
                    <a:prstGeom prst="rect">
                      <a:avLst/>
                    </a:prstGeom>
                    <a:noFill/>
                  </pic:spPr>
                </pic:pic>
              </a:graphicData>
            </a:graphic>
          </wp:anchor>
        </w:drawing>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Third Quarter Total Company Results (GAAP)</w:t>
      </w:r>
    </w:p>
    <w:p>
      <w:pPr>
        <w:spacing w:after="0" w:line="31" w:lineRule="exact"/>
        <w:rPr>
          <w:sz w:val="20"/>
          <w:szCs w:val="20"/>
          <w:color w:val="auto"/>
        </w:rPr>
      </w:pPr>
    </w:p>
    <w:tbl>
      <w:tblPr>
        <w:tblLayout w:type="fixed"/>
        <w:tblInd w:w="1130" w:type="dxa"/>
        <w:tblCellMar>
          <w:top w:w="0" w:type="dxa"/>
          <w:left w:w="0" w:type="dxa"/>
          <w:bottom w:w="0" w:type="dxa"/>
          <w:right w:w="0" w:type="dxa"/>
        </w:tblCellMar>
      </w:tblPr>
      <w:tr>
        <w:trPr>
          <w:trHeight w:val="236"/>
        </w:trPr>
        <w:tc>
          <w:tcPr>
            <w:tcW w:w="460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 in millions except per share amounts)</w:t>
            </w:r>
          </w:p>
        </w:tc>
        <w:tc>
          <w:tcPr>
            <w:tcW w:w="1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4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Change</w:t>
            </w:r>
          </w:p>
        </w:tc>
      </w:tr>
      <w:tr>
        <w:trPr>
          <w:trHeight w:val="237"/>
        </w:trPr>
        <w:tc>
          <w:tcPr>
            <w:tcW w:w="46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$5,369</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$5,131</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36"/>
        </w:trPr>
        <w:tc>
          <w:tcPr>
            <w:tcW w:w="46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EPS (diluted)</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$0.94</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$0.91</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601"/>
        </w:trPr>
        <w:tc>
          <w:tcPr>
            <w:tcW w:w="46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r>
        <w:trPr>
          <w:trHeight w:val="236"/>
        </w:trPr>
        <w:tc>
          <w:tcPr>
            <w:tcW w:w="6180" w:type="dxa"/>
            <w:vAlign w:val="bottom"/>
            <w:tcBorders>
              <w:left w:val="single" w:sz="8" w:color="auto"/>
              <w:bottom w:val="single" w:sz="8" w:color="auto"/>
              <w:right w:val="single" w:sz="8" w:color="C6D9F1"/>
            </w:tcBorders>
            <w:gridSpan w:val="2"/>
            <w:shd w:val="clear" w:color="auto" w:fill="C6D9F1"/>
          </w:tcPr>
          <w:p>
            <w:pPr>
              <w:ind w:left="40"/>
              <w:spacing w:after="0"/>
              <w:rPr>
                <w:sz w:val="20"/>
                <w:szCs w:val="20"/>
                <w:color w:val="auto"/>
              </w:rPr>
            </w:pPr>
            <w:r>
              <w:rPr>
                <w:rFonts w:ascii="Times New Roman" w:cs="Times New Roman" w:eastAsia="Times New Roman" w:hAnsi="Times New Roman"/>
                <w:sz w:val="18"/>
                <w:szCs w:val="18"/>
                <w:b w:val="1"/>
                <w:bCs w:val="1"/>
                <w:color w:val="auto"/>
              </w:rPr>
              <w:t>Third Quarter Total Company Results (Base Business - Non-GAAP)*</w:t>
            </w:r>
          </w:p>
        </w:tc>
        <w:tc>
          <w:tcPr>
            <w:tcW w:w="1420" w:type="dxa"/>
            <w:vAlign w:val="bottom"/>
            <w:tcBorders>
              <w:bottom w:val="single" w:sz="8" w:color="auto"/>
              <w:right w:val="single" w:sz="8" w:color="C6D9F1"/>
            </w:tcBorders>
            <w:shd w:val="clear" w:color="auto" w:fill="C6D9F1"/>
          </w:tcPr>
          <w:p>
            <w:pPr>
              <w:spacing w:after="0"/>
              <w:rPr>
                <w:sz w:val="20"/>
                <w:szCs w:val="20"/>
                <w:color w:val="auto"/>
              </w:rPr>
            </w:pPr>
          </w:p>
        </w:tc>
        <w:tc>
          <w:tcPr>
            <w:tcW w:w="1440" w:type="dxa"/>
            <w:vAlign w:val="bottom"/>
            <w:tcBorders>
              <w:bottom w:val="single" w:sz="8" w:color="auto"/>
              <w:right w:val="single" w:sz="8" w:color="auto"/>
            </w:tcBorders>
            <w:shd w:val="clear" w:color="auto" w:fill="C6D9F1"/>
          </w:tcPr>
          <w:p>
            <w:pPr>
              <w:spacing w:after="0"/>
              <w:rPr>
                <w:sz w:val="20"/>
                <w:szCs w:val="20"/>
                <w:color w:val="auto"/>
              </w:rPr>
            </w:pPr>
          </w:p>
        </w:tc>
      </w:tr>
      <w:tr>
        <w:trPr>
          <w:trHeight w:val="237"/>
        </w:trPr>
        <w:tc>
          <w:tcPr>
            <w:tcW w:w="460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440" w:type="dxa"/>
            <w:vAlign w:val="bottom"/>
            <w:tcBorders>
              <w:bottom w:val="single" w:sz="8" w:color="auto"/>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Change</w:t>
            </w:r>
          </w:p>
        </w:tc>
      </w:tr>
      <w:tr>
        <w:trPr>
          <w:trHeight w:val="236"/>
        </w:trPr>
        <w:tc>
          <w:tcPr>
            <w:tcW w:w="46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Organic Sales Growth</w:t>
            </w:r>
          </w:p>
        </w:tc>
        <w:tc>
          <w:tcPr>
            <w:tcW w:w="158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37"/>
        </w:trPr>
        <w:tc>
          <w:tcPr>
            <w:tcW w:w="46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Base Business EPS (diluted)</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$0.97</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$0.91</w:t>
            </w:r>
          </w:p>
        </w:tc>
        <w:tc>
          <w:tcPr>
            <w:tcW w:w="1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r>
    </w:tbl>
    <w:p>
      <w:pPr>
        <w:spacing w:after="0" w:line="175" w:lineRule="exact"/>
        <w:rPr>
          <w:sz w:val="20"/>
          <w:szCs w:val="20"/>
          <w:color w:val="auto"/>
        </w:rPr>
      </w:pPr>
    </w:p>
    <w:p>
      <w:pPr>
        <w:ind w:right="400"/>
        <w:spacing w:after="0" w:line="266" w:lineRule="auto"/>
        <w:rPr>
          <w:sz w:val="20"/>
          <w:szCs w:val="20"/>
          <w:color w:val="auto"/>
        </w:rPr>
      </w:pPr>
      <w:r>
        <w:rPr>
          <w:rFonts w:ascii="Arial" w:cs="Arial" w:eastAsia="Arial" w:hAnsi="Arial"/>
          <w:sz w:val="16"/>
          <w:szCs w:val="16"/>
          <w:color w:val="auto"/>
        </w:rPr>
        <w:t>*Indicates a non-GAAP financial measure. Please refer to “Non-GAAP Financial Measures” later in this release for definitions of non-GAAP financial measures and to “Table 6 - Geographic Sales Analysis Percentage Changes” and “Table 8 - Non-GAAP Reconciliations” included with this release for a reconciliation of these non-GAAP financial measures to the related GAAP measures.</w:t>
      </w:r>
    </w:p>
    <w:p>
      <w:pPr>
        <w:sectPr>
          <w:pgSz w:w="11900" w:h="16838" w:orient="portrait"/>
          <w:cols w:equalWidth="0" w:num="1">
            <w:col w:w="11240"/>
          </w:cols>
          <w:pgMar w:left="320" w:top="1097" w:right="339" w:bottom="1440" w:gutter="0" w:footer="0" w:header="0"/>
        </w:sectPr>
      </w:pPr>
    </w:p>
    <w:bookmarkStart w:id="4" w:name="page5"/>
    <w:bookmarkEnd w:id="4"/>
    <w:p>
      <w:pPr>
        <w:spacing w:after="0" w:line="361" w:lineRule="auto"/>
        <w:rPr>
          <w:sz w:val="20"/>
          <w:szCs w:val="20"/>
          <w:color w:val="auto"/>
        </w:rPr>
      </w:pPr>
      <w:r>
        <w:rPr>
          <w:rFonts w:ascii="Arial" w:cs="Arial" w:eastAsia="Arial" w:hAnsi="Arial"/>
          <w:sz w:val="22"/>
          <w:szCs w:val="22"/>
          <w:b w:val="1"/>
          <w:bCs w:val="1"/>
          <w:color w:val="auto"/>
        </w:rPr>
        <w:t>New York, New York, October 30, 2026</w:t>
      </w:r>
      <w:r>
        <w:rPr>
          <w:rFonts w:ascii="Arial" w:cs="Arial" w:eastAsia="Arial" w:hAnsi="Arial"/>
          <w:sz w:val="22"/>
          <w:szCs w:val="22"/>
          <w:color w:val="auto"/>
        </w:rPr>
        <w:t>…Colgate-Palmolive Company (NYSE:CL) today reported results for third</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2026. Noel Wallace, Chairman, President and Chief Executive Officer, commented on the Base Business third quarter results, “Our growth momentum continued, delivering another strong quarter of broad-based top- and bottom-line growth with net sales and organic sales increasing in all four categories and in four of five divisions. We were particularly pleased to have delivered our fourth quarter of sequential improvement in worldwide volume growth, while delivering strong pricing growth in the third quarter. As was the case last quarter, gross profit, gross profit margin, operating profit, operating profit margin, net income, earnings per share and free cash flow all increased year over year.</w:t>
      </w:r>
    </w:p>
    <w:p>
      <w:pPr>
        <w:spacing w:after="0" w:line="211" w:lineRule="exact"/>
        <w:rPr>
          <w:sz w:val="20"/>
          <w:szCs w:val="20"/>
          <w:color w:val="auto"/>
        </w:rPr>
      </w:pPr>
    </w:p>
    <w:p>
      <w:pPr>
        <w:ind w:right="680"/>
        <w:spacing w:after="0" w:line="366" w:lineRule="auto"/>
        <w:rPr>
          <w:sz w:val="20"/>
          <w:szCs w:val="20"/>
          <w:color w:val="auto"/>
        </w:rPr>
      </w:pPr>
      <w:r>
        <w:rPr>
          <w:rFonts w:ascii="Arial" w:cs="Arial" w:eastAsia="Arial" w:hAnsi="Arial"/>
          <w:sz w:val="22"/>
          <w:szCs w:val="22"/>
          <w:color w:val="auto"/>
        </w:rPr>
        <w:t>“We remain focused on executing our 2030 strategy, with an emphasis on driving premium, science-based innovation, and we continue to invest behind our brands globally supported by another double-digit increase in advertising this quarter.</w:t>
      </w:r>
    </w:p>
    <w:p>
      <w:pPr>
        <w:spacing w:after="0" w:line="206" w:lineRule="exact"/>
        <w:rPr>
          <w:sz w:val="20"/>
          <w:szCs w:val="20"/>
          <w:color w:val="auto"/>
        </w:rPr>
      </w:pPr>
    </w:p>
    <w:p>
      <w:pPr>
        <w:jc w:val="both"/>
        <w:ind w:right="420"/>
        <w:spacing w:after="0" w:line="373" w:lineRule="auto"/>
        <w:rPr>
          <w:sz w:val="20"/>
          <w:szCs w:val="20"/>
          <w:color w:val="auto"/>
        </w:rPr>
      </w:pPr>
      <w:r>
        <w:rPr>
          <w:rFonts w:ascii="Arial" w:cs="Arial" w:eastAsia="Arial" w:hAnsi="Arial"/>
          <w:sz w:val="22"/>
          <w:szCs w:val="22"/>
          <w:color w:val="auto"/>
        </w:rPr>
        <w:t>“Despite consumer uncertainty and ongoing macroeconomic volatility, our proactive focus on driving growth while building flexibility into our P&amp;L gives us confidence we can navigate these challenges while continuing to deliver consistent, compounded earnings per share growth and drive long-term shareholder value.”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Full Year 2026 Guidance</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Based on current spot rates:</w:t>
      </w:r>
    </w:p>
    <w:p>
      <w:pPr>
        <w:spacing w:after="0" w:line="125" w:lineRule="exact"/>
        <w:rPr>
          <w:sz w:val="20"/>
          <w:szCs w:val="20"/>
          <w:color w:val="auto"/>
        </w:rPr>
      </w:pPr>
    </w:p>
    <w:p>
      <w:pPr>
        <w:ind w:left="660" w:right="80" w:hanging="328"/>
        <w:spacing w:after="0" w:line="358"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Company now expects net sales to be up 4% to 5% (versus 2% to 6% previously), including a low-single-digit positive impact from foreign exchange.</w:t>
      </w:r>
    </w:p>
    <w:p>
      <w:pPr>
        <w:spacing w:after="0" w:line="1" w:lineRule="exact"/>
        <w:rPr>
          <w:rFonts w:ascii="Arial" w:cs="Arial" w:eastAsia="Arial" w:hAnsi="Arial"/>
          <w:sz w:val="22"/>
          <w:szCs w:val="22"/>
          <w:color w:val="auto"/>
        </w:rPr>
      </w:pPr>
    </w:p>
    <w:p>
      <w:pPr>
        <w:ind w:left="660" w:right="60" w:hanging="328"/>
        <w:spacing w:after="0" w:line="375" w:lineRule="auto"/>
        <w:tabs>
          <w:tab w:leader="none" w:pos="655" w:val="left"/>
        </w:tabs>
        <w:numPr>
          <w:ilvl w:val="0"/>
          <w:numId w:val="4"/>
        </w:numPr>
        <w:rPr>
          <w:rFonts w:ascii="Arial" w:cs="Arial" w:eastAsia="Arial" w:hAnsi="Arial"/>
          <w:sz w:val="21"/>
          <w:szCs w:val="21"/>
          <w:color w:val="auto"/>
        </w:rPr>
      </w:pPr>
      <w:r>
        <w:rPr>
          <w:rFonts w:ascii="Arial" w:cs="Arial" w:eastAsia="Arial" w:hAnsi="Arial"/>
          <w:sz w:val="21"/>
          <w:szCs w:val="21"/>
          <w:color w:val="auto"/>
        </w:rPr>
        <w:t>The Company now expects organic sales growth to be broadly in line with its nine-month performance (versus 1% to 4% previously). This includes the impact from our exit from the private label pet food business.</w:t>
      </w:r>
    </w:p>
    <w:p>
      <w:pPr>
        <w:spacing w:after="0" w:line="1" w:lineRule="exact"/>
        <w:rPr>
          <w:rFonts w:ascii="Arial" w:cs="Arial" w:eastAsia="Arial" w:hAnsi="Arial"/>
          <w:sz w:val="21"/>
          <w:szCs w:val="21"/>
          <w:color w:val="auto"/>
        </w:rPr>
      </w:pPr>
    </w:p>
    <w:p>
      <w:pPr>
        <w:ind w:left="660" w:right="100" w:hanging="328"/>
        <w:spacing w:after="0" w:line="354"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22"/>
          <w:szCs w:val="22"/>
          <w:color w:val="auto"/>
        </w:rPr>
        <w:t>On a GAAP basis, the Company now expects gross profit margin to be up (versus roughly flat previously) and still expects advertising to be up on both a dollar basis and as a percentage of net sales and double-digit earnings per share growth.</w:t>
      </w:r>
    </w:p>
    <w:p>
      <w:pPr>
        <w:spacing w:after="0" w:line="1" w:lineRule="exact"/>
        <w:rPr>
          <w:rFonts w:ascii="Arial" w:cs="Arial" w:eastAsia="Arial" w:hAnsi="Arial"/>
          <w:sz w:val="22"/>
          <w:szCs w:val="22"/>
          <w:color w:val="auto"/>
        </w:rPr>
      </w:pPr>
    </w:p>
    <w:p>
      <w:pPr>
        <w:ind w:left="660" w:right="100" w:hanging="328"/>
        <w:spacing w:after="0" w:line="396" w:lineRule="auto"/>
        <w:tabs>
          <w:tab w:leader="none" w:pos="655" w:val="left"/>
        </w:tabs>
        <w:numPr>
          <w:ilvl w:val="0"/>
          <w:numId w:val="4"/>
        </w:numPr>
        <w:rPr>
          <w:rFonts w:ascii="Arial" w:cs="Arial" w:eastAsia="Arial" w:hAnsi="Arial"/>
          <w:sz w:val="21"/>
          <w:szCs w:val="21"/>
          <w:color w:val="auto"/>
        </w:rPr>
      </w:pPr>
      <w:r>
        <w:rPr>
          <w:rFonts w:ascii="Arial" w:cs="Arial" w:eastAsia="Arial" w:hAnsi="Arial"/>
          <w:sz w:val="21"/>
          <w:szCs w:val="21"/>
          <w:color w:val="auto"/>
        </w:rPr>
        <w:t>On a non-GAAP (Base Business) basis, the Company now expects gross profit margin to be up (versus roughly flat previously) and still expects advertising to be up on both a dollar basis and as a percentage of net sales; it also now expects 5% to 7% earnings per share growth (versus mid-single-digit growth previously).</w:t>
      </w:r>
    </w:p>
    <w:p>
      <w:pPr>
        <w:sectPr>
          <w:pgSz w:w="11900" w:h="16838" w:orient="portrait"/>
          <w:cols w:equalWidth="0" w:num="1">
            <w:col w:w="11200"/>
          </w:cols>
          <w:pgMar w:left="320" w:top="948" w:right="37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u w:val="single" w:color="auto"/>
          <w:color w:val="auto"/>
        </w:rPr>
        <w:t>Divisional Performance</w:t>
      </w:r>
    </w:p>
    <w:p>
      <w:pPr>
        <w:spacing w:after="0" w:line="127" w:lineRule="exact"/>
        <w:rPr>
          <w:sz w:val="20"/>
          <w:szCs w:val="20"/>
          <w:color w:val="auto"/>
        </w:rPr>
      </w:pPr>
    </w:p>
    <w:p>
      <w:pPr>
        <w:ind w:right="320"/>
        <w:spacing w:after="0" w:line="387" w:lineRule="auto"/>
        <w:rPr>
          <w:sz w:val="20"/>
          <w:szCs w:val="20"/>
          <w:color w:val="auto"/>
        </w:rPr>
      </w:pPr>
      <w:r>
        <w:rPr>
          <w:rFonts w:ascii="Arial" w:cs="Arial" w:eastAsia="Arial" w:hAnsi="Arial"/>
          <w:sz w:val="22"/>
          <w:szCs w:val="22"/>
          <w:color w:val="auto"/>
        </w:rPr>
        <w:t>See attached "Table 6 - Geographic Sales Analysis Percentage Changes" and "Table 5 - Segment Information" for additional information on net sales and operating profit by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99060</wp:posOffset>
            </wp:positionV>
            <wp:extent cx="5974715" cy="17233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74715" cy="1723390"/>
                    </a:xfrm>
                    <a:prstGeom prst="rect">
                      <a:avLst/>
                    </a:prstGeom>
                    <a:noFill/>
                  </pic:spPr>
                </pic:pic>
              </a:graphicData>
            </a:graphic>
          </wp:anchor>
        </w:drawing>
      </w:r>
    </w:p>
    <w:p>
      <w:pPr>
        <w:spacing w:after="0" w:line="15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Third Quarter Sales Growth By Division</w:t>
      </w:r>
    </w:p>
    <w:p>
      <w:pPr>
        <w:spacing w:after="0" w:line="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change 3Q 2026 vs. 3Q 2025 except % of Total Company Sales)</w:t>
      </w:r>
    </w:p>
    <w:p>
      <w:pPr>
        <w:spacing w:after="0" w:line="7" w:lineRule="exact"/>
        <w:rPr>
          <w:sz w:val="20"/>
          <w:szCs w:val="20"/>
          <w:color w:val="auto"/>
        </w:rPr>
      </w:pPr>
    </w:p>
    <w:tbl>
      <w:tblPr>
        <w:tblLayout w:type="fixed"/>
        <w:tblInd w:w="920" w:type="dxa"/>
        <w:tblCellMar>
          <w:top w:w="0" w:type="dxa"/>
          <w:left w:w="0" w:type="dxa"/>
          <w:bottom w:w="0" w:type="dxa"/>
          <w:right w:w="0" w:type="dxa"/>
        </w:tblCellMar>
      </w:tblPr>
      <w:tr>
        <w:trPr>
          <w:trHeight w:val="191"/>
        </w:trPr>
        <w:tc>
          <w:tcPr>
            <w:tcW w:w="2220" w:type="dxa"/>
            <w:vAlign w:val="bottom"/>
            <w:tcBorders>
              <w:top w:val="single" w:sz="8" w:color="auto"/>
              <w:right w:val="single" w:sz="8" w:color="auto"/>
            </w:tcBorders>
          </w:tcPr>
          <w:p>
            <w:pPr>
              <w:spacing w:after="0"/>
              <w:rPr>
                <w:sz w:val="16"/>
                <w:szCs w:val="16"/>
                <w:color w:val="auto"/>
              </w:rPr>
            </w:pPr>
          </w:p>
        </w:tc>
        <w:tc>
          <w:tcPr>
            <w:tcW w:w="1200" w:type="dxa"/>
            <w:vAlign w:val="bottom"/>
            <w:tcBorders>
              <w:top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 of Total</w:t>
            </w:r>
          </w:p>
        </w:tc>
        <w:tc>
          <w:tcPr>
            <w:tcW w:w="1200" w:type="dxa"/>
            <w:vAlign w:val="bottom"/>
            <w:tcBorders>
              <w:top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Net</w:t>
            </w:r>
          </w:p>
        </w:tc>
        <w:tc>
          <w:tcPr>
            <w:tcW w:w="1200" w:type="dxa"/>
            <w:vAlign w:val="bottom"/>
            <w:tcBorders>
              <w:top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Organic</w:t>
            </w:r>
          </w:p>
        </w:tc>
        <w:tc>
          <w:tcPr>
            <w:tcW w:w="1200" w:type="dxa"/>
            <w:vAlign w:val="bottom"/>
            <w:tcBorders>
              <w:top w:val="single" w:sz="8" w:color="auto"/>
              <w:right w:val="single" w:sz="8" w:color="auto"/>
            </w:tcBorders>
          </w:tcPr>
          <w:p>
            <w:pPr>
              <w:spacing w:after="0"/>
              <w:rPr>
                <w:sz w:val="16"/>
                <w:szCs w:val="16"/>
                <w:color w:val="auto"/>
              </w:rPr>
            </w:pPr>
          </w:p>
        </w:tc>
        <w:tc>
          <w:tcPr>
            <w:tcW w:w="1200" w:type="dxa"/>
            <w:vAlign w:val="bottom"/>
            <w:tcBorders>
              <w:top w:val="single" w:sz="8" w:color="auto"/>
              <w:right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r>
      <w:tr>
        <w:trPr>
          <w:trHeight w:val="234"/>
        </w:trPr>
        <w:tc>
          <w:tcPr>
            <w:tcW w:w="222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Company Sales</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Sales</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Sales*</w:t>
            </w:r>
          </w:p>
        </w:tc>
        <w:tc>
          <w:tcPr>
            <w:tcW w:w="120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Volume</w:t>
            </w:r>
          </w:p>
        </w:tc>
        <w:tc>
          <w:tcPr>
            <w:tcW w:w="12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Pricing</w:t>
            </w:r>
          </w:p>
        </w:tc>
        <w:tc>
          <w:tcPr>
            <w:tcW w:w="11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FX</w:t>
            </w:r>
          </w:p>
        </w:tc>
        <w:tc>
          <w:tcPr>
            <w:tcW w:w="20" w:type="dxa"/>
            <w:vAlign w:val="bottom"/>
            <w:tcBorders>
              <w:bottom w:val="single" w:sz="8" w:color="auto"/>
            </w:tcBorders>
          </w:tcPr>
          <w:p>
            <w:pPr>
              <w:spacing w:after="0"/>
              <w:rPr>
                <w:sz w:val="20"/>
                <w:szCs w:val="20"/>
                <w:color w:val="auto"/>
              </w:rPr>
            </w:pPr>
          </w:p>
        </w:tc>
      </w:tr>
      <w:tr>
        <w:trPr>
          <w:trHeight w:val="237"/>
        </w:trPr>
        <w:tc>
          <w:tcPr>
            <w:tcW w:w="2220" w:type="dxa"/>
            <w:vAlign w:val="bottom"/>
            <w:tcBorders>
              <w:bottom w:val="single" w:sz="8" w:color="auto"/>
              <w:right w:val="single" w:sz="8" w:color="auto"/>
            </w:tcBorders>
          </w:tcPr>
          <w:p>
            <w:pPr>
              <w:ind w:left="40"/>
              <w:spacing w:after="0" w:line="236" w:lineRule="exact"/>
              <w:rPr>
                <w:sz w:val="20"/>
                <w:szCs w:val="20"/>
                <w:color w:val="auto"/>
              </w:rPr>
            </w:pPr>
            <w:r>
              <w:rPr>
                <w:rFonts w:ascii="Times New Roman" w:cs="Times New Roman" w:eastAsia="Times New Roman" w:hAnsi="Times New Roman"/>
                <w:sz w:val="18"/>
                <w:szCs w:val="18"/>
                <w:color w:val="auto"/>
              </w:rPr>
              <w:t>North America</w:t>
            </w:r>
            <w:r>
              <w:rPr>
                <w:rFonts w:ascii="Times New Roman" w:cs="Times New Roman" w:eastAsia="Times New Roman" w:hAnsi="Times New Roman"/>
                <w:sz w:val="23"/>
                <w:szCs w:val="23"/>
                <w:color w:val="auto"/>
                <w:vertAlign w:val="superscript"/>
              </w:rPr>
              <w:t>(1)</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17%</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-0.2%</w:t>
            </w:r>
          </w:p>
        </w:tc>
        <w:tc>
          <w:tcPr>
            <w:tcW w:w="20" w:type="dxa"/>
            <w:vAlign w:val="bottom"/>
            <w:tcBorders>
              <w:bottom w:val="single" w:sz="8" w:color="auto"/>
            </w:tcBorders>
          </w:tcPr>
          <w:p>
            <w:pPr>
              <w:spacing w:after="0"/>
              <w:rPr>
                <w:sz w:val="20"/>
                <w:szCs w:val="20"/>
                <w:color w:val="auto"/>
              </w:rPr>
            </w:pPr>
          </w:p>
        </w:tc>
      </w:tr>
      <w:tr>
        <w:trPr>
          <w:trHeight w:val="237"/>
        </w:trPr>
        <w:tc>
          <w:tcPr>
            <w:tcW w:w="22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Latin America</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+12.5%</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+6.0%</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+3.9%</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Borders>
              <w:bottom w:val="single" w:sz="8" w:color="auto"/>
            </w:tcBorders>
          </w:tcPr>
          <w:p>
            <w:pPr>
              <w:spacing w:after="0"/>
              <w:rPr>
                <w:sz w:val="20"/>
                <w:szCs w:val="20"/>
                <w:color w:val="auto"/>
              </w:rPr>
            </w:pPr>
          </w:p>
        </w:tc>
      </w:tr>
      <w:tr>
        <w:trPr>
          <w:trHeight w:val="188"/>
        </w:trPr>
        <w:tc>
          <w:tcPr>
            <w:tcW w:w="2220" w:type="dxa"/>
            <w:vAlign w:val="bottom"/>
            <w:tcBorders>
              <w:right w:val="single" w:sz="8" w:color="auto"/>
            </w:tcBorders>
          </w:tcPr>
          <w:p>
            <w:pPr>
              <w:ind w:left="40"/>
              <w:spacing w:after="0" w:line="188" w:lineRule="exact"/>
              <w:rPr>
                <w:sz w:val="20"/>
                <w:szCs w:val="20"/>
                <w:color w:val="auto"/>
              </w:rPr>
            </w:pPr>
            <w:r>
              <w:rPr>
                <w:rFonts w:ascii="Times New Roman" w:cs="Times New Roman" w:eastAsia="Times New Roman" w:hAnsi="Times New Roman"/>
                <w:sz w:val="18"/>
                <w:szCs w:val="18"/>
                <w:color w:val="auto"/>
              </w:rPr>
              <w:t>Europe, Middle East &amp;</w:t>
            </w:r>
          </w:p>
        </w:tc>
        <w:tc>
          <w:tcPr>
            <w:tcW w:w="120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8"/>
        </w:trPr>
        <w:tc>
          <w:tcPr>
            <w:tcW w:w="2220" w:type="dxa"/>
            <w:vAlign w:val="bottom"/>
            <w:tcBorders>
              <w:bottom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18"/>
                <w:szCs w:val="18"/>
                <w:color w:val="auto"/>
              </w:rPr>
              <w:t>Africa</w:t>
            </w:r>
            <w:r>
              <w:rPr>
                <w:rFonts w:ascii="Times New Roman" w:cs="Times New Roman" w:eastAsia="Times New Roman" w:hAnsi="Times New Roman"/>
                <w:sz w:val="23"/>
                <w:szCs w:val="23"/>
                <w:color w:val="auto"/>
                <w:vertAlign w:val="superscript"/>
              </w:rPr>
              <w:t>(1)</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21%</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-0.9%</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c>
          <w:tcPr>
            <w:tcW w:w="20" w:type="dxa"/>
            <w:vAlign w:val="bottom"/>
            <w:tcBorders>
              <w:bottom w:val="single" w:sz="8" w:color="auto"/>
            </w:tcBorders>
          </w:tcPr>
          <w:p>
            <w:pPr>
              <w:spacing w:after="0"/>
              <w:rPr>
                <w:sz w:val="20"/>
                <w:szCs w:val="20"/>
                <w:color w:val="auto"/>
              </w:rPr>
            </w:pPr>
          </w:p>
        </w:tc>
      </w:tr>
      <w:tr>
        <w:trPr>
          <w:trHeight w:val="237"/>
        </w:trPr>
        <w:tc>
          <w:tcPr>
            <w:tcW w:w="2220" w:type="dxa"/>
            <w:vAlign w:val="bottom"/>
            <w:tcBorders>
              <w:bottom w:val="single" w:sz="8" w:color="auto"/>
              <w:right w:val="single" w:sz="8" w:color="auto"/>
            </w:tcBorders>
          </w:tcPr>
          <w:p>
            <w:pPr>
              <w:ind w:left="40"/>
              <w:spacing w:after="0" w:line="236" w:lineRule="exact"/>
              <w:rPr>
                <w:sz w:val="20"/>
                <w:szCs w:val="20"/>
                <w:color w:val="auto"/>
              </w:rPr>
            </w:pPr>
            <w:r>
              <w:rPr>
                <w:rFonts w:ascii="Times New Roman" w:cs="Times New Roman" w:eastAsia="Times New Roman" w:hAnsi="Times New Roman"/>
                <w:sz w:val="18"/>
                <w:szCs w:val="18"/>
                <w:color w:val="auto"/>
              </w:rPr>
              <w:t>Asia Pacific</w:t>
            </w:r>
            <w:r>
              <w:rPr>
                <w:rFonts w:ascii="Times New Roman" w:cs="Times New Roman" w:eastAsia="Times New Roman" w:hAnsi="Times New Roman"/>
                <w:sz w:val="23"/>
                <w:szCs w:val="23"/>
                <w:color w:val="auto"/>
                <w:vertAlign w:val="superscript"/>
              </w:rPr>
              <w:t>(1)</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+4.6%</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+1.9%</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+2.8%</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c>
          <w:tcPr>
            <w:tcW w:w="20" w:type="dxa"/>
            <w:vAlign w:val="bottom"/>
            <w:tcBorders>
              <w:bottom w:val="single" w:sz="8" w:color="auto"/>
            </w:tcBorders>
          </w:tcPr>
          <w:p>
            <w:pPr>
              <w:spacing w:after="0"/>
              <w:rPr>
                <w:sz w:val="20"/>
                <w:szCs w:val="20"/>
                <w:color w:val="auto"/>
              </w:rPr>
            </w:pPr>
          </w:p>
        </w:tc>
      </w:tr>
      <w:tr>
        <w:trPr>
          <w:trHeight w:val="237"/>
        </w:trPr>
        <w:tc>
          <w:tcPr>
            <w:tcW w:w="22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Hill’s Pet Nutrition</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22%</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+5.6%</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+5.7%</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+3.9%</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-0.1%</w:t>
            </w:r>
          </w:p>
        </w:tc>
        <w:tc>
          <w:tcPr>
            <w:tcW w:w="20" w:type="dxa"/>
            <w:vAlign w:val="bottom"/>
            <w:tcBorders>
              <w:bottom w:val="single" w:sz="8" w:color="auto"/>
            </w:tcBorders>
          </w:tcPr>
          <w:p>
            <w:pPr>
              <w:spacing w:after="0"/>
              <w:rPr>
                <w:sz w:val="20"/>
                <w:szCs w:val="20"/>
                <w:color w:val="auto"/>
              </w:rPr>
            </w:pPr>
          </w:p>
        </w:tc>
      </w:tr>
      <w:tr>
        <w:trPr>
          <w:trHeight w:val="61"/>
        </w:trPr>
        <w:tc>
          <w:tcPr>
            <w:tcW w:w="2220" w:type="dxa"/>
            <w:vAlign w:val="bottom"/>
            <w:tcBorders>
              <w:bottom w:val="single" w:sz="8" w:color="auto"/>
              <w:right w:val="single" w:sz="8" w:color="auto"/>
            </w:tcBorders>
            <w:shd w:val="clear" w:color="auto" w:fill="BFBFBF"/>
          </w:tcPr>
          <w:p>
            <w:pPr>
              <w:spacing w:after="0"/>
              <w:rPr>
                <w:sz w:val="5"/>
                <w:szCs w:val="5"/>
                <w:color w:val="auto"/>
              </w:rPr>
            </w:pPr>
          </w:p>
        </w:tc>
        <w:tc>
          <w:tcPr>
            <w:tcW w:w="1200" w:type="dxa"/>
            <w:vAlign w:val="bottom"/>
            <w:tcBorders>
              <w:bottom w:val="single" w:sz="8" w:color="auto"/>
              <w:right w:val="single" w:sz="8" w:color="auto"/>
            </w:tcBorders>
            <w:shd w:val="clear" w:color="auto" w:fill="BFBFBF"/>
          </w:tcPr>
          <w:p>
            <w:pPr>
              <w:spacing w:after="0"/>
              <w:rPr>
                <w:sz w:val="5"/>
                <w:szCs w:val="5"/>
                <w:color w:val="auto"/>
              </w:rPr>
            </w:pPr>
          </w:p>
        </w:tc>
        <w:tc>
          <w:tcPr>
            <w:tcW w:w="1200" w:type="dxa"/>
            <w:vAlign w:val="bottom"/>
            <w:tcBorders>
              <w:bottom w:val="single" w:sz="8" w:color="auto"/>
              <w:right w:val="single" w:sz="8" w:color="auto"/>
            </w:tcBorders>
            <w:shd w:val="clear" w:color="auto" w:fill="BFBFBF"/>
          </w:tcPr>
          <w:p>
            <w:pPr>
              <w:spacing w:after="0"/>
              <w:rPr>
                <w:sz w:val="5"/>
                <w:szCs w:val="5"/>
                <w:color w:val="auto"/>
              </w:rPr>
            </w:pPr>
          </w:p>
        </w:tc>
        <w:tc>
          <w:tcPr>
            <w:tcW w:w="1200" w:type="dxa"/>
            <w:vAlign w:val="bottom"/>
            <w:tcBorders>
              <w:bottom w:val="single" w:sz="8" w:color="auto"/>
              <w:right w:val="single" w:sz="8" w:color="auto"/>
            </w:tcBorders>
            <w:shd w:val="clear" w:color="auto" w:fill="BFBFBF"/>
          </w:tcPr>
          <w:p>
            <w:pPr>
              <w:spacing w:after="0"/>
              <w:rPr>
                <w:sz w:val="5"/>
                <w:szCs w:val="5"/>
                <w:color w:val="auto"/>
              </w:rPr>
            </w:pPr>
          </w:p>
        </w:tc>
        <w:tc>
          <w:tcPr>
            <w:tcW w:w="1200" w:type="dxa"/>
            <w:vAlign w:val="bottom"/>
            <w:tcBorders>
              <w:bottom w:val="single" w:sz="8" w:color="auto"/>
              <w:right w:val="single" w:sz="8" w:color="auto"/>
            </w:tcBorders>
            <w:shd w:val="clear" w:color="auto" w:fill="BFBFBF"/>
          </w:tcPr>
          <w:p>
            <w:pPr>
              <w:spacing w:after="0"/>
              <w:rPr>
                <w:sz w:val="5"/>
                <w:szCs w:val="5"/>
                <w:color w:val="auto"/>
              </w:rPr>
            </w:pPr>
          </w:p>
        </w:tc>
        <w:tc>
          <w:tcPr>
            <w:tcW w:w="1200" w:type="dxa"/>
            <w:vAlign w:val="bottom"/>
            <w:tcBorders>
              <w:bottom w:val="single" w:sz="8" w:color="auto"/>
              <w:right w:val="single" w:sz="8" w:color="auto"/>
            </w:tcBorders>
            <w:shd w:val="clear" w:color="auto" w:fill="BFBFBF"/>
          </w:tcPr>
          <w:p>
            <w:pPr>
              <w:spacing w:after="0"/>
              <w:rPr>
                <w:sz w:val="5"/>
                <w:szCs w:val="5"/>
                <w:color w:val="auto"/>
              </w:rPr>
            </w:pPr>
          </w:p>
        </w:tc>
        <w:tc>
          <w:tcPr>
            <w:tcW w:w="1180" w:type="dxa"/>
            <w:vAlign w:val="bottom"/>
            <w:tcBorders>
              <w:bottom w:val="single" w:sz="8" w:color="auto"/>
            </w:tcBorders>
            <w:shd w:val="clear" w:color="auto" w:fill="BFBFBF"/>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37"/>
        </w:trPr>
        <w:tc>
          <w:tcPr>
            <w:tcW w:w="22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Company</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+4.6%</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auto"/>
            </w:tcBorders>
          </w:tcPr>
          <w:p>
            <w:pPr>
              <w:spacing w:after="0"/>
              <w:rPr>
                <w:sz w:val="20"/>
                <w:szCs w:val="20"/>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Table may not sum due to rounding.</w:t>
      </w:r>
    </w:p>
    <w:p>
      <w:pPr>
        <w:spacing w:after="0" w:line="140" w:lineRule="exact"/>
        <w:rPr>
          <w:sz w:val="20"/>
          <w:szCs w:val="20"/>
          <w:color w:val="auto"/>
        </w:rPr>
      </w:pPr>
    </w:p>
    <w:p>
      <w:pPr>
        <w:ind w:left="340" w:hanging="8"/>
        <w:spacing w:after="0" w:line="304" w:lineRule="auto"/>
        <w:tabs>
          <w:tab w:leader="none" w:pos="583"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has recast its historical geographic segment information to conform to the reporting structure effective for the quarter ended March 31, 2026. Recast historical geographic segment information can be found on the Company's website.</w:t>
      </w:r>
    </w:p>
    <w:p>
      <w:pPr>
        <w:spacing w:after="0" w:line="47" w:lineRule="exact"/>
        <w:rPr>
          <w:sz w:val="20"/>
          <w:szCs w:val="20"/>
          <w:color w:val="auto"/>
        </w:rPr>
      </w:pPr>
    </w:p>
    <w:p>
      <w:pPr>
        <w:ind w:left="340" w:right="60"/>
        <w:spacing w:after="0" w:line="275" w:lineRule="auto"/>
        <w:rPr>
          <w:sz w:val="20"/>
          <w:szCs w:val="20"/>
          <w:color w:val="auto"/>
        </w:rPr>
      </w:pPr>
      <w:r>
        <w:rPr>
          <w:rFonts w:ascii="Arial" w:cs="Arial" w:eastAsia="Arial" w:hAnsi="Arial"/>
          <w:sz w:val="16"/>
          <w:szCs w:val="16"/>
          <w:color w:val="auto"/>
        </w:rPr>
        <w:t>*Indicates a non-GAAP financial measure. Please refer to “Non-GAAP Financial Measures” later in this release for definitions of non-GAAP financial measures and to “Table 6 - Geographic Sales Analysis Percentage Changes” included with this release for a reconciliation of these non-GAAP financial measures to the related 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567690</wp:posOffset>
            </wp:positionV>
            <wp:extent cx="6000750" cy="18770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00750"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color w:val="auto"/>
        </w:rPr>
        <w:t>Third Quarter Operating Profit By Division</w:t>
      </w:r>
    </w:p>
    <w:p>
      <w:pPr>
        <w:ind w:left="940"/>
        <w:spacing w:after="0"/>
        <w:rPr>
          <w:sz w:val="20"/>
          <w:szCs w:val="20"/>
          <w:color w:val="auto"/>
        </w:rPr>
      </w:pPr>
      <w:r>
        <w:rPr>
          <w:rFonts w:ascii="Times New Roman" w:cs="Times New Roman" w:eastAsia="Times New Roman" w:hAnsi="Times New Roman"/>
          <w:sz w:val="18"/>
          <w:szCs w:val="18"/>
          <w:color w:val="auto"/>
        </w:rPr>
        <w:t>($ in millions)</w:t>
      </w:r>
    </w:p>
    <w:p>
      <w:pPr>
        <w:spacing w:after="0" w:line="7" w:lineRule="exact"/>
        <w:rPr>
          <w:sz w:val="20"/>
          <w:szCs w:val="20"/>
          <w:color w:val="auto"/>
        </w:rPr>
      </w:pPr>
    </w:p>
    <w:tbl>
      <w:tblPr>
        <w:tblLayout w:type="fixed"/>
        <w:tblInd w:w="920" w:type="dxa"/>
        <w:tblCellMar>
          <w:top w:w="0" w:type="dxa"/>
          <w:left w:w="0" w:type="dxa"/>
          <w:bottom w:w="0" w:type="dxa"/>
          <w:right w:w="0" w:type="dxa"/>
        </w:tblCellMar>
      </w:tblPr>
      <w:tr>
        <w:trPr>
          <w:trHeight w:val="196"/>
        </w:trPr>
        <w:tc>
          <w:tcPr>
            <w:tcW w:w="4060" w:type="dxa"/>
            <w:vAlign w:val="bottom"/>
            <w:tcBorders>
              <w:top w:val="single" w:sz="8" w:color="auto"/>
              <w:right w:val="single" w:sz="8" w:color="auto"/>
            </w:tcBorders>
          </w:tcPr>
          <w:p>
            <w:pPr>
              <w:spacing w:after="0"/>
              <w:rPr>
                <w:sz w:val="17"/>
                <w:szCs w:val="17"/>
                <w:color w:val="auto"/>
              </w:rPr>
            </w:pPr>
          </w:p>
        </w:tc>
        <w:tc>
          <w:tcPr>
            <w:tcW w:w="980" w:type="dxa"/>
            <w:vAlign w:val="bottom"/>
            <w:tcBorders>
              <w:top w:val="single" w:sz="8" w:color="auto"/>
              <w:right w:val="single" w:sz="8" w:color="auto"/>
            </w:tcBorders>
          </w:tcPr>
          <w:p>
            <w:pPr>
              <w:spacing w:after="0"/>
              <w:rPr>
                <w:sz w:val="17"/>
                <w:szCs w:val="17"/>
                <w:color w:val="auto"/>
              </w:rPr>
            </w:pPr>
          </w:p>
        </w:tc>
        <w:tc>
          <w:tcPr>
            <w:tcW w:w="1380" w:type="dxa"/>
            <w:vAlign w:val="bottom"/>
            <w:tcBorders>
              <w:top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 Change vs 3Q</w:t>
            </w:r>
          </w:p>
        </w:tc>
        <w:tc>
          <w:tcPr>
            <w:tcW w:w="1180" w:type="dxa"/>
            <w:vAlign w:val="bottom"/>
            <w:tcBorders>
              <w:top w:val="single" w:sz="8" w:color="auto"/>
              <w:right w:val="single" w:sz="8" w:color="auto"/>
            </w:tcBorders>
          </w:tcPr>
          <w:p>
            <w:pPr>
              <w:spacing w:after="0"/>
              <w:rPr>
                <w:sz w:val="17"/>
                <w:szCs w:val="17"/>
                <w:color w:val="auto"/>
              </w:rPr>
            </w:pPr>
          </w:p>
        </w:tc>
        <w:tc>
          <w:tcPr>
            <w:tcW w:w="1820" w:type="dxa"/>
            <w:vAlign w:val="bottom"/>
            <w:tcBorders>
              <w:top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Change in basis points</w:t>
            </w: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06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vMerge w:val="continue"/>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8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vs 3Q 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6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3Q 2026</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to Net Sales</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to Net Sales</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60" w:type="dxa"/>
            <w:vAlign w:val="bottom"/>
            <w:tcBorders>
              <w:bottom w:val="single" w:sz="8" w:color="auto"/>
              <w:right w:val="single" w:sz="8" w:color="auto"/>
            </w:tcBorders>
          </w:tcPr>
          <w:p>
            <w:pPr>
              <w:ind w:left="20"/>
              <w:spacing w:after="0" w:line="236" w:lineRule="exact"/>
              <w:rPr>
                <w:sz w:val="20"/>
                <w:szCs w:val="20"/>
                <w:color w:val="auto"/>
              </w:rPr>
            </w:pPr>
            <w:r>
              <w:rPr>
                <w:rFonts w:ascii="Times New Roman" w:cs="Times New Roman" w:eastAsia="Times New Roman" w:hAnsi="Times New Roman"/>
                <w:sz w:val="18"/>
                <w:szCs w:val="18"/>
                <w:color w:val="auto"/>
              </w:rPr>
              <w:t>North America</w:t>
            </w:r>
            <w:r>
              <w:rPr>
                <w:rFonts w:ascii="Times New Roman" w:cs="Times New Roman" w:eastAsia="Times New Roman" w:hAnsi="Times New Roman"/>
                <w:sz w:val="23"/>
                <w:szCs w:val="23"/>
                <w:color w:val="auto"/>
                <w:vertAlign w:val="superscript"/>
              </w:rPr>
              <w:t>(1)</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$177</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19.5%</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-210</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$392</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17%</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29.6%</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60" w:type="dxa"/>
            <w:vAlign w:val="bottom"/>
            <w:tcBorders>
              <w:bottom w:val="single" w:sz="8" w:color="auto"/>
              <w:right w:val="single" w:sz="8" w:color="auto"/>
            </w:tcBorders>
          </w:tcPr>
          <w:p>
            <w:pPr>
              <w:ind w:left="20"/>
              <w:spacing w:after="0" w:line="236" w:lineRule="exact"/>
              <w:rPr>
                <w:sz w:val="20"/>
                <w:szCs w:val="20"/>
                <w:color w:val="auto"/>
              </w:rPr>
            </w:pPr>
            <w:r>
              <w:rPr>
                <w:rFonts w:ascii="Times New Roman" w:cs="Times New Roman" w:eastAsia="Times New Roman" w:hAnsi="Times New Roman"/>
                <w:sz w:val="18"/>
                <w:szCs w:val="18"/>
                <w:color w:val="auto"/>
              </w:rPr>
              <w:t>Europe, Middle East &amp; Africa</w:t>
            </w:r>
            <w:r>
              <w:rPr>
                <w:rFonts w:ascii="Times New Roman" w:cs="Times New Roman" w:eastAsia="Times New Roman" w:hAnsi="Times New Roman"/>
                <w:sz w:val="23"/>
                <w:szCs w:val="23"/>
                <w:color w:val="auto"/>
                <w:vertAlign w:val="superscript"/>
              </w:rPr>
              <w:t>(1)</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$262</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23.2%</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60" w:type="dxa"/>
            <w:vAlign w:val="bottom"/>
            <w:tcBorders>
              <w:bottom w:val="single" w:sz="8" w:color="auto"/>
              <w:right w:val="single" w:sz="8" w:color="auto"/>
            </w:tcBorders>
          </w:tcPr>
          <w:p>
            <w:pPr>
              <w:ind w:left="20"/>
              <w:spacing w:after="0" w:line="236" w:lineRule="exact"/>
              <w:rPr>
                <w:sz w:val="20"/>
                <w:szCs w:val="20"/>
                <w:color w:val="auto"/>
              </w:rPr>
            </w:pPr>
            <w:r>
              <w:rPr>
                <w:rFonts w:ascii="Times New Roman" w:cs="Times New Roman" w:eastAsia="Times New Roman" w:hAnsi="Times New Roman"/>
                <w:sz w:val="18"/>
                <w:szCs w:val="18"/>
                <w:color w:val="auto"/>
              </w:rPr>
              <w:t>Asia Pacific</w:t>
            </w:r>
            <w:r>
              <w:rPr>
                <w:rFonts w:ascii="Times New Roman" w:cs="Times New Roman" w:eastAsia="Times New Roman" w:hAnsi="Times New Roman"/>
                <w:sz w:val="23"/>
                <w:szCs w:val="23"/>
                <w:color w:val="auto"/>
                <w:vertAlign w:val="superscript"/>
              </w:rPr>
              <w:t>(1)</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$211</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26.4%</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-110</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Hill’s Pet Nutrition</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$267</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22.2%</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4060" w:type="dxa"/>
            <w:vAlign w:val="bottom"/>
            <w:tcBorders>
              <w:bottom w:val="single" w:sz="8" w:color="auto"/>
              <w:right w:val="single" w:sz="8" w:color="auto"/>
            </w:tcBorders>
            <w:shd w:val="clear" w:color="auto" w:fill="BFBFBF"/>
          </w:tcPr>
          <w:p>
            <w:pPr>
              <w:spacing w:after="0"/>
              <w:rPr>
                <w:sz w:val="5"/>
                <w:szCs w:val="5"/>
                <w:color w:val="auto"/>
              </w:rPr>
            </w:pPr>
          </w:p>
        </w:tc>
        <w:tc>
          <w:tcPr>
            <w:tcW w:w="980" w:type="dxa"/>
            <w:vAlign w:val="bottom"/>
            <w:tcBorders>
              <w:bottom w:val="single" w:sz="8" w:color="auto"/>
              <w:right w:val="single" w:sz="8" w:color="auto"/>
            </w:tcBorders>
            <w:shd w:val="clear" w:color="auto" w:fill="BFBFBF"/>
          </w:tcPr>
          <w:p>
            <w:pPr>
              <w:spacing w:after="0"/>
              <w:rPr>
                <w:sz w:val="5"/>
                <w:szCs w:val="5"/>
                <w:color w:val="auto"/>
              </w:rPr>
            </w:pPr>
          </w:p>
        </w:tc>
        <w:tc>
          <w:tcPr>
            <w:tcW w:w="1380" w:type="dxa"/>
            <w:vAlign w:val="bottom"/>
            <w:tcBorders>
              <w:bottom w:val="single" w:sz="8" w:color="auto"/>
              <w:right w:val="single" w:sz="8" w:color="auto"/>
            </w:tcBorders>
            <w:shd w:val="clear" w:color="auto" w:fill="BFBFBF"/>
          </w:tcPr>
          <w:p>
            <w:pPr>
              <w:spacing w:after="0"/>
              <w:rPr>
                <w:sz w:val="5"/>
                <w:szCs w:val="5"/>
                <w:color w:val="auto"/>
              </w:rPr>
            </w:pPr>
          </w:p>
        </w:tc>
        <w:tc>
          <w:tcPr>
            <w:tcW w:w="1180" w:type="dxa"/>
            <w:vAlign w:val="bottom"/>
            <w:tcBorders>
              <w:bottom w:val="single" w:sz="8" w:color="auto"/>
              <w:right w:val="single" w:sz="8" w:color="auto"/>
            </w:tcBorders>
            <w:shd w:val="clear" w:color="auto" w:fill="BFBFBF"/>
          </w:tcPr>
          <w:p>
            <w:pPr>
              <w:spacing w:after="0"/>
              <w:rPr>
                <w:sz w:val="5"/>
                <w:szCs w:val="5"/>
                <w:color w:val="auto"/>
              </w:rPr>
            </w:pPr>
          </w:p>
        </w:tc>
        <w:tc>
          <w:tcPr>
            <w:tcW w:w="1820" w:type="dxa"/>
            <w:vAlign w:val="bottom"/>
            <w:tcBorders>
              <w:bottom w:val="single" w:sz="8" w:color="auto"/>
            </w:tcBorders>
            <w:shd w:val="clear" w:color="auto" w:fill="BFBFBF"/>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0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Company, As Reported</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$1,088</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20.3%</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Company, Base Business*</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$1,117</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20.8%</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80" w:right="240" w:firstLine="9"/>
        <w:spacing w:after="0" w:line="304" w:lineRule="auto"/>
        <w:tabs>
          <w:tab w:leader="none" w:pos="323"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has recast its historical geographic segment information to conform to the reporting structure effective for the quarter ended March 31, 2026.</w:t>
      </w:r>
    </w:p>
    <w:p>
      <w:pPr>
        <w:spacing w:after="0" w:line="20" w:lineRule="exact"/>
        <w:rPr>
          <w:sz w:val="20"/>
          <w:szCs w:val="20"/>
          <w:color w:val="auto"/>
        </w:rPr>
      </w:pPr>
    </w:p>
    <w:p>
      <w:pPr>
        <w:ind w:left="80" w:right="120"/>
        <w:spacing w:after="0" w:line="275" w:lineRule="auto"/>
        <w:rPr>
          <w:sz w:val="20"/>
          <w:szCs w:val="20"/>
          <w:color w:val="auto"/>
        </w:rPr>
      </w:pPr>
      <w:r>
        <w:rPr>
          <w:rFonts w:ascii="Arial" w:cs="Arial" w:eastAsia="Arial" w:hAnsi="Arial"/>
          <w:sz w:val="16"/>
          <w:szCs w:val="16"/>
          <w:color w:val="auto"/>
        </w:rPr>
        <w:t>*Indicates a non-GAAP financial measure. Please refer to “Non-GAAP Financial Measures” later in this release for definitions of non-GAAP financial measures and to “Table 8 - Non-GAAP Reconciliations” included with this release for a reconciliation of these non-GAAP financial measures to the related GAAP measures.</w:t>
      </w:r>
    </w:p>
    <w:p>
      <w:pPr>
        <w:sectPr>
          <w:pgSz w:w="11900" w:h="16838" w:orient="portrait"/>
          <w:cols w:equalWidth="0" w:num="1">
            <w:col w:w="11220"/>
          </w:cols>
          <w:pgMar w:left="320" w:top="948" w:right="35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u w:val="single" w:color="auto"/>
          <w:color w:val="auto"/>
        </w:rPr>
        <w:t>Prepared Materials and Webcast Information</w:t>
      </w:r>
    </w:p>
    <w:p>
      <w:pPr>
        <w:spacing w:after="0" w:line="127" w:lineRule="exact"/>
        <w:rPr>
          <w:sz w:val="20"/>
          <w:szCs w:val="20"/>
          <w:color w:val="auto"/>
        </w:rPr>
      </w:pPr>
    </w:p>
    <w:p>
      <w:pPr>
        <w:ind w:right="240"/>
        <w:spacing w:after="0" w:line="387" w:lineRule="auto"/>
        <w:rPr>
          <w:sz w:val="20"/>
          <w:szCs w:val="20"/>
          <w:color w:val="auto"/>
        </w:rPr>
      </w:pPr>
      <w:r>
        <w:rPr>
          <w:rFonts w:ascii="Arial" w:cs="Arial" w:eastAsia="Arial" w:hAnsi="Arial"/>
          <w:sz w:val="22"/>
          <w:szCs w:val="22"/>
          <w:color w:val="auto"/>
        </w:rPr>
        <w:t>At approximately 7:00 a.m. ET today, the Company will post its prepared materials regarding third quarter results to the Investor Center section of its website at https://investor.colgatepalmolive.com/events-and-presentations.</w:t>
      </w:r>
    </w:p>
    <w:p>
      <w:pPr>
        <w:spacing w:after="0" w:line="170" w:lineRule="exact"/>
        <w:rPr>
          <w:sz w:val="20"/>
          <w:szCs w:val="20"/>
          <w:color w:val="auto"/>
        </w:rPr>
      </w:pPr>
    </w:p>
    <w:p>
      <w:pPr>
        <w:spacing w:after="0" w:line="387" w:lineRule="auto"/>
        <w:rPr>
          <w:sz w:val="20"/>
          <w:szCs w:val="20"/>
          <w:color w:val="auto"/>
        </w:rPr>
      </w:pPr>
      <w:r>
        <w:rPr>
          <w:rFonts w:ascii="Arial" w:cs="Arial" w:eastAsia="Arial" w:hAnsi="Arial"/>
          <w:sz w:val="22"/>
          <w:szCs w:val="22"/>
          <w:color w:val="auto"/>
        </w:rPr>
        <w:t>At 8:30 a.m. ET today, the Company will host a conference call regarding third quarter results. To access this call as a webcast, please go to Colgate-Palmolive’s website at www.colgatepalmolive.com.</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Colgate-Palmolive</w:t>
      </w:r>
    </w:p>
    <w:p>
      <w:pPr>
        <w:spacing w:after="0" w:line="73" w:lineRule="exact"/>
        <w:rPr>
          <w:sz w:val="20"/>
          <w:szCs w:val="20"/>
          <w:color w:val="auto"/>
        </w:rPr>
      </w:pPr>
    </w:p>
    <w:p>
      <w:pPr>
        <w:ind w:right="260"/>
        <w:spacing w:after="0" w:line="248" w:lineRule="auto"/>
        <w:rPr>
          <w:sz w:val="20"/>
          <w:szCs w:val="20"/>
          <w:color w:val="auto"/>
        </w:rPr>
      </w:pPr>
      <w:r>
        <w:rPr>
          <w:rFonts w:ascii="Arial" w:cs="Arial" w:eastAsia="Arial" w:hAnsi="Arial"/>
          <w:sz w:val="22"/>
          <w:szCs w:val="22"/>
          <w:color w:val="auto"/>
        </w:rPr>
        <w:t>Colgate-Palmolive Company is a caring, innovative growth company that is reimagining a healthier future for all people, their pets and our planet. Focused on Oral Care, Personal Care, Home Care and Pet Nutrition, we sell our products in more than 200 countries and territories under brands such as Colgate, Palmolive, Ajax, Axion, Darlie, elmex, EltaMD, Fabuloso, Filorga, hello, Hill’s Prescription Diet, Hill’s Science Diet, Irish Spring, Lady Speed Stick, meridol, PCA SKIN, Prime100, Protex, Sanex, Softsoap, Sorriso, Soupline, Speed Stick, Suavitel and Tom’s of Maine. We are recognized for our leadership and innovation in promoting community wellbeing and improving children’s oral health through our Colgate Bright Smiles, Bright Futures program, which has reached approximately two billion children and their families since 1991. For more information about Colgate-Palmolive and how we make more smiles, visit www.colgatepalmolive.com. CL-E</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Market Share Information</w:t>
      </w:r>
    </w:p>
    <w:p>
      <w:pPr>
        <w:spacing w:after="0" w:line="26" w:lineRule="exact"/>
        <w:rPr>
          <w:sz w:val="20"/>
          <w:szCs w:val="20"/>
          <w:color w:val="auto"/>
        </w:rPr>
      </w:pPr>
    </w:p>
    <w:p>
      <w:pPr>
        <w:ind w:right="100"/>
        <w:spacing w:after="0" w:line="247" w:lineRule="auto"/>
        <w:rPr>
          <w:sz w:val="20"/>
          <w:szCs w:val="20"/>
          <w:color w:val="auto"/>
        </w:rPr>
      </w:pPr>
      <w:r>
        <w:rPr>
          <w:rFonts w:ascii="Arial" w:cs="Arial" w:eastAsia="Arial" w:hAnsi="Arial"/>
          <w:sz w:val="22"/>
          <w:szCs w:val="22"/>
          <w:color w:val="auto"/>
        </w:rPr>
        <w:t>Management uses market share information as a key indicator to monitor business health and performance. References to market share in this press release are based on a combination of consumption and market share data provided by third-party vendors, primarily Nielsen, and internal estimates. Except as otherwise noted, all market share references represent the percentage of the dollar value of sales of our products, relative to all product sales in the category in the countries in which the Company competes and purchases data (excluding Venezuela from all periods).</w:t>
      </w:r>
    </w:p>
    <w:p>
      <w:pPr>
        <w:spacing w:after="0" w:line="186" w:lineRule="exact"/>
        <w:rPr>
          <w:sz w:val="20"/>
          <w:szCs w:val="20"/>
          <w:color w:val="auto"/>
        </w:rPr>
      </w:pPr>
    </w:p>
    <w:p>
      <w:pPr>
        <w:ind w:right="20"/>
        <w:spacing w:after="0" w:line="262" w:lineRule="auto"/>
        <w:rPr>
          <w:sz w:val="20"/>
          <w:szCs w:val="20"/>
          <w:color w:val="auto"/>
        </w:rPr>
      </w:pPr>
      <w:r>
        <w:rPr>
          <w:rFonts w:ascii="Arial" w:cs="Arial" w:eastAsia="Arial" w:hAnsi="Arial"/>
          <w:sz w:val="21"/>
          <w:szCs w:val="21"/>
          <w:color w:val="auto"/>
        </w:rPr>
        <w:t>Market share data is subject to limitations on the availability of up-to-date information. In particular, market share data is currently not generally available for certain retail channels, such as eCommerce and certain club retailers and discounters. The Company measures year-to-date market shares from January 1 of the relevant year through the most recent period for which market share data is available, which typically reflects a lag time of one or two months. The Company believes that the third-party vendors it uses to provide data are reliable, but it has not verified the accuracy or completeness of the data or any assumptions underlying the data. In addition, market share information reported by the Company may be different from market share information reported by other companies due to differences in category definitions, the use of data from different countries, internal estimates and other factors.</w:t>
      </w:r>
    </w:p>
    <w:p>
      <w:pPr>
        <w:sectPr>
          <w:pgSz w:w="11900" w:h="16838" w:orient="portrait"/>
          <w:cols w:equalWidth="0" w:num="1">
            <w:col w:w="11220"/>
          </w:cols>
          <w:pgMar w:left="320" w:top="948" w:right="35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u w:val="single" w:color="auto"/>
          <w:color w:val="auto"/>
        </w:rPr>
        <w:t>Cautionary Statement on Forward-Looking Statements</w:t>
      </w:r>
    </w:p>
    <w:p>
      <w:pPr>
        <w:spacing w:after="0" w:line="26"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This press release and the related prepared materials and webcast may contain forward-looking statements (as that term is defined in the U.S. Private Securities Litigation Reform Act of 1995 or by the Securities and Exchange Commission (SEC) in its rules, regulations and releases) that set forth anticipated results based on management</w:t>
      </w:r>
      <w:r>
        <w:rPr>
          <w:rFonts w:ascii="Arial" w:cs="Arial" w:eastAsia="Arial" w:hAnsi="Arial"/>
          <w:sz w:val="16"/>
          <w:szCs w:val="16"/>
          <w:color w:val="auto"/>
        </w:rPr>
        <w:t>’</w:t>
      </w:r>
      <w:r>
        <w:rPr>
          <w:rFonts w:ascii="Arial" w:cs="Arial" w:eastAsia="Arial" w:hAnsi="Arial"/>
          <w:sz w:val="21"/>
          <w:szCs w:val="21"/>
          <w:color w:val="auto"/>
        </w:rPr>
        <w:t>s current plans and assumptions. Such statements may relate, for example, to sales or volume growth, net selling price increases, organic sales growth, profit or profit margin levels, earnings per share levels, financial goals, category growth rates, the impact of foreign exchange, the impact of developments in global trade relations and tariffs, the impact of geopolitical events and tensions, wars and military conflicts, such as in Ukraine and the Middle East, cost reduction plans (including the Strategic Growth and Productivity Program), tax rates, interest rates, new product introductions, digital capabilities, commercial investment levels, acquisitions, divestitures, share repurchases or legal or tax proceedings, among other matters. These statements are made on the basis of the Company</w:t>
      </w:r>
      <w:r>
        <w:rPr>
          <w:rFonts w:ascii="Arial" w:cs="Arial" w:eastAsia="Arial" w:hAnsi="Arial"/>
          <w:sz w:val="16"/>
          <w:szCs w:val="16"/>
          <w:color w:val="auto"/>
        </w:rPr>
        <w:t>’</w:t>
      </w:r>
      <w:r>
        <w:rPr>
          <w:rFonts w:ascii="Arial" w:cs="Arial" w:eastAsia="Arial" w:hAnsi="Arial"/>
          <w:sz w:val="21"/>
          <w:szCs w:val="21"/>
          <w:color w:val="auto"/>
        </w:rPr>
        <w:t>s views and assumptions as of October 30, 2026. The Company undertakes no obligation to update these statements whether as a result of new information, future events or otherwise, except as required by law or by the rules and regulations of the SEC. Moreover, the Company does not, nor does any other person, assume responsibility for the accuracy and completeness of these statements. The Company cautions investors that any such forward-looking statements are not guarantees of future performance and that actual events or results may differ materially from those statements. For more information about factors that could impact the Company</w:t>
      </w:r>
      <w:r>
        <w:rPr>
          <w:rFonts w:ascii="Arial" w:cs="Arial" w:eastAsia="Arial" w:hAnsi="Arial"/>
          <w:sz w:val="16"/>
          <w:szCs w:val="16"/>
          <w:color w:val="auto"/>
        </w:rPr>
        <w:t>’</w:t>
      </w:r>
      <w:r>
        <w:rPr>
          <w:rFonts w:ascii="Arial" w:cs="Arial" w:eastAsia="Arial" w:hAnsi="Arial"/>
          <w:sz w:val="21"/>
          <w:szCs w:val="21"/>
          <w:color w:val="auto"/>
        </w:rPr>
        <w:t>s business and cause actual results to differ materially from forward-looking statements, investors should refer to the Company</w:t>
      </w:r>
      <w:r>
        <w:rPr>
          <w:rFonts w:ascii="Arial" w:cs="Arial" w:eastAsia="Arial" w:hAnsi="Arial"/>
          <w:sz w:val="16"/>
          <w:szCs w:val="16"/>
          <w:color w:val="auto"/>
        </w:rPr>
        <w:t>’</w:t>
      </w:r>
      <w:r>
        <w:rPr>
          <w:rFonts w:ascii="Arial" w:cs="Arial" w:eastAsia="Arial" w:hAnsi="Arial"/>
          <w:sz w:val="21"/>
          <w:szCs w:val="21"/>
          <w:color w:val="auto"/>
        </w:rPr>
        <w:t>s filings with the SEC (including, but not limited to, the information set forth under the captions “Risk Factors” and “Cautionary Statement on Forward-Looking Statements” in the Company’s Annual Report on Form 10-K for the year ended December 31, 2025 and subsequent filings with the SEC). Copies of these filings may be obtained upon request from the Company</w:t>
      </w:r>
      <w:r>
        <w:rPr>
          <w:rFonts w:ascii="Arial" w:cs="Arial" w:eastAsia="Arial" w:hAnsi="Arial"/>
          <w:sz w:val="16"/>
          <w:szCs w:val="16"/>
          <w:color w:val="auto"/>
        </w:rPr>
        <w:t>’</w:t>
      </w:r>
      <w:r>
        <w:rPr>
          <w:rFonts w:ascii="Arial" w:cs="Arial" w:eastAsia="Arial" w:hAnsi="Arial"/>
          <w:sz w:val="21"/>
          <w:szCs w:val="21"/>
          <w:color w:val="auto"/>
        </w:rPr>
        <w:t>s Investor Relations Department or on the Company</w:t>
      </w:r>
      <w:r>
        <w:rPr>
          <w:rFonts w:ascii="Arial" w:cs="Arial" w:eastAsia="Arial" w:hAnsi="Arial"/>
          <w:sz w:val="16"/>
          <w:szCs w:val="16"/>
          <w:color w:val="auto"/>
        </w:rPr>
        <w:t>’</w:t>
      </w:r>
      <w:r>
        <w:rPr>
          <w:rFonts w:ascii="Arial" w:cs="Arial" w:eastAsia="Arial" w:hAnsi="Arial"/>
          <w:sz w:val="21"/>
          <w:szCs w:val="21"/>
          <w:color w:val="auto"/>
        </w:rPr>
        <w:t>s website at www.colgatepalmolive.com.</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Non-GAAP Financial Measures</w:t>
      </w:r>
    </w:p>
    <w:p>
      <w:pPr>
        <w:spacing w:after="0" w:line="26" w:lineRule="exact"/>
        <w:rPr>
          <w:sz w:val="20"/>
          <w:szCs w:val="20"/>
          <w:color w:val="auto"/>
        </w:rPr>
      </w:pPr>
    </w:p>
    <w:p>
      <w:pPr>
        <w:jc w:val="both"/>
        <w:ind w:right="480"/>
        <w:spacing w:after="0" w:line="247" w:lineRule="auto"/>
        <w:rPr>
          <w:sz w:val="20"/>
          <w:szCs w:val="20"/>
          <w:color w:val="auto"/>
        </w:rPr>
      </w:pPr>
      <w:r>
        <w:rPr>
          <w:rFonts w:ascii="Arial" w:cs="Arial" w:eastAsia="Arial" w:hAnsi="Arial"/>
          <w:sz w:val="22"/>
          <w:szCs w:val="22"/>
          <w:color w:val="auto"/>
        </w:rPr>
        <w:t>The following provides definitions and other information regarding the non-GAAP financial measures used in this press release and the related prepared materials and webcast, which may not be the same as or comparable to similar measures presented by other companies:</w:t>
      </w:r>
    </w:p>
    <w:p>
      <w:pPr>
        <w:spacing w:after="0" w:line="2" w:lineRule="exact"/>
        <w:rPr>
          <w:sz w:val="20"/>
          <w:szCs w:val="20"/>
          <w:color w:val="auto"/>
        </w:rPr>
      </w:pPr>
    </w:p>
    <w:p>
      <w:pPr>
        <w:ind w:left="660" w:right="160" w:hanging="328"/>
        <w:spacing w:after="0" w:line="243"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22"/>
          <w:szCs w:val="22"/>
          <w:color w:val="auto"/>
        </w:rPr>
        <w:t>Base Business: Base Business refers to non-GAAP measures of operating results that exclude certain items. Base Business operating results exclude, as applicable, charges related to the Strategic Growth and Productivity Program and the ERISA litigation matter and acquisition-related costs.</w:t>
      </w:r>
    </w:p>
    <w:p>
      <w:pPr>
        <w:spacing w:after="0" w:line="1" w:lineRule="exact"/>
        <w:rPr>
          <w:rFonts w:ascii="Arial" w:cs="Arial" w:eastAsia="Arial" w:hAnsi="Arial"/>
          <w:sz w:val="22"/>
          <w:szCs w:val="22"/>
          <w:color w:val="auto"/>
        </w:rPr>
      </w:pPr>
    </w:p>
    <w:p>
      <w:pPr>
        <w:ind w:left="660" w:right="1140" w:hanging="328"/>
        <w:spacing w:after="0" w:line="249"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22"/>
          <w:szCs w:val="22"/>
          <w:color w:val="auto"/>
        </w:rPr>
        <w:t>Organic sales growth: Net sales growth excluding the impact of foreign exchange, acquisitions and divestments.</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Free cash flow before dividends: Net cash provided by operations less Capital expenditures.</w:t>
      </w:r>
    </w:p>
    <w:p>
      <w:pPr>
        <w:spacing w:after="0" w:line="227"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This press release and the related prepared materials and webcast discuss Net sales growth (GAAP) and Organic sales growth (non-GAAP). Management believes the organic sales growth measure provides investors and analysts with useful supplemental information regarding the Company</w:t>
      </w:r>
      <w:r>
        <w:rPr>
          <w:rFonts w:ascii="Arial" w:cs="Arial" w:eastAsia="Arial" w:hAnsi="Arial"/>
          <w:sz w:val="17"/>
          <w:szCs w:val="17"/>
          <w:color w:val="auto"/>
        </w:rPr>
        <w:t>’</w:t>
      </w:r>
      <w:r>
        <w:rPr>
          <w:rFonts w:ascii="Arial" w:cs="Arial" w:eastAsia="Arial" w:hAnsi="Arial"/>
          <w:sz w:val="22"/>
          <w:szCs w:val="22"/>
          <w:color w:val="auto"/>
        </w:rPr>
        <w:t>s underlying sales trends by presenting sales growth excluding the external factor of foreign exchange as well as the impact from acquisitions and divestments. See “Geographic Sales Analysis Percentage Changes” for the three and nine months ended September 30, 2026 versus 2025 included with this release for a comparison of Organic sales growth to Net sales growth in accordance with GAAP.</w:t>
      </w:r>
    </w:p>
    <w:p>
      <w:pPr>
        <w:sectPr>
          <w:pgSz w:w="11900" w:h="16838" w:orient="portrait"/>
          <w:cols w:equalWidth="0" w:num="1">
            <w:col w:w="11200"/>
          </w:cols>
          <w:pgMar w:left="320" w:top="894" w:right="379" w:bottom="1440" w:gutter="0" w:footer="0" w:header="0"/>
        </w:sectPr>
      </w:pPr>
    </w:p>
    <w:bookmarkStart w:id="8" w:name="page9"/>
    <w:bookmarkEnd w:id="8"/>
    <w:p>
      <w:pPr>
        <w:spacing w:after="0" w:line="237" w:lineRule="auto"/>
        <w:rPr>
          <w:sz w:val="20"/>
          <w:szCs w:val="20"/>
          <w:color w:val="auto"/>
        </w:rPr>
      </w:pPr>
      <w:r>
        <w:rPr>
          <w:rFonts w:ascii="Arial" w:cs="Arial" w:eastAsia="Arial" w:hAnsi="Arial"/>
          <w:sz w:val="22"/>
          <w:szCs w:val="22"/>
          <w:color w:val="auto"/>
        </w:rPr>
        <w:t xml:space="preserve">Gross profit, Gross profit margin, Selling, general and administrative expenses, Selling, general and administrative expenses as a percentage of Net sales, Other (income) expense, net, Operating profit, Operating profit margin, Non-service related postretirement costs, Effective income tax rate, Net income attributable to Colgate-Palmolive Company and Diluted earnings per common share are disclosed on both an as reported (GAAP) and Base Business (non-GAAP) basis. These non-GAAP financial measures exclude items that, either by their nature or amount, management would not expect to occur as part of the Company’s normal business on a regular basis, such as restructuring charges, charges for certain litigation and tax matters, acquisition-related costs, gains and losses from certain divestitures and certain other unusual, non-recurring items. Investors and analysts use these financial measures in assessing the Company’s business performance, and management believes that presenting these financial measures on a non-GAAP basis provides them with useful supplemental information to enhance their understanding of the Company’s underlying business performance and trends. These non-GAAP financial measures also enhance the ability to compare period-to-period financial results. See </w:t>
      </w:r>
      <w:r>
        <w:rPr>
          <w:rFonts w:ascii="Arial" w:cs="Arial" w:eastAsia="Arial" w:hAnsi="Arial"/>
          <w:sz w:val="17"/>
          <w:szCs w:val="17"/>
          <w:color w:val="auto"/>
        </w:rPr>
        <w:t>“</w:t>
      </w:r>
      <w:r>
        <w:rPr>
          <w:rFonts w:ascii="Arial" w:cs="Arial" w:eastAsia="Arial" w:hAnsi="Arial"/>
          <w:sz w:val="22"/>
          <w:szCs w:val="22"/>
          <w:color w:val="auto"/>
        </w:rPr>
        <w:t>Non-GAAP Reconciliations” for the three and nine months ended September 30, 2026 and 2025 included with this release for a reconciliation of these financial measures to the related GAAP measures.</w:t>
      </w:r>
    </w:p>
    <w:p>
      <w:pPr>
        <w:spacing w:after="0" w:line="229" w:lineRule="exact"/>
        <w:rPr>
          <w:sz w:val="20"/>
          <w:szCs w:val="20"/>
          <w:color w:val="auto"/>
        </w:rPr>
      </w:pPr>
    </w:p>
    <w:p>
      <w:pPr>
        <w:ind w:right="80"/>
        <w:spacing w:after="0" w:line="253" w:lineRule="auto"/>
        <w:rPr>
          <w:sz w:val="20"/>
          <w:szCs w:val="20"/>
          <w:color w:val="auto"/>
        </w:rPr>
      </w:pPr>
      <w:r>
        <w:rPr>
          <w:rFonts w:ascii="Arial" w:cs="Arial" w:eastAsia="Arial" w:hAnsi="Arial"/>
          <w:sz w:val="22"/>
          <w:szCs w:val="22"/>
          <w:color w:val="auto"/>
        </w:rPr>
        <w:t>The Company uses these financial measures internally in its budgeting process, to evaluate segment and overall operating performance and as factors in determining compensation. While the Company believes that these financial measures are useful in evaluating the Company</w:t>
      </w:r>
      <w:r>
        <w:rPr>
          <w:rFonts w:ascii="Arial" w:cs="Arial" w:eastAsia="Arial" w:hAnsi="Arial"/>
          <w:sz w:val="17"/>
          <w:szCs w:val="17"/>
          <w:color w:val="auto"/>
        </w:rPr>
        <w:t>’</w:t>
      </w:r>
      <w:r>
        <w:rPr>
          <w:rFonts w:ascii="Arial" w:cs="Arial" w:eastAsia="Arial" w:hAnsi="Arial"/>
          <w:sz w:val="22"/>
          <w:szCs w:val="22"/>
          <w:color w:val="auto"/>
        </w:rPr>
        <w:t>s underlying business performance and trends, this information should be considered as supplemental in nature and is not meant to be considered in isolation or as a substitute for the related financial information prepared in accordance with GAAP.</w:t>
      </w:r>
    </w:p>
    <w:p>
      <w:pPr>
        <w:spacing w:after="0" w:line="206" w:lineRule="exact"/>
        <w:rPr>
          <w:sz w:val="20"/>
          <w:szCs w:val="20"/>
          <w:color w:val="auto"/>
        </w:rPr>
      </w:pPr>
    </w:p>
    <w:p>
      <w:pPr>
        <w:ind w:right="40"/>
        <w:spacing w:after="0" w:line="252" w:lineRule="auto"/>
        <w:rPr>
          <w:sz w:val="20"/>
          <w:szCs w:val="20"/>
          <w:color w:val="auto"/>
        </w:rPr>
      </w:pPr>
      <w:r>
        <w:rPr>
          <w:rFonts w:ascii="Arial" w:cs="Arial" w:eastAsia="Arial" w:hAnsi="Arial"/>
          <w:sz w:val="22"/>
          <w:szCs w:val="22"/>
          <w:color w:val="auto"/>
        </w:rPr>
        <w:t>As management uses free cash flow before dividends to evaluate the Company</w:t>
      </w:r>
      <w:r>
        <w:rPr>
          <w:rFonts w:ascii="Arial" w:cs="Arial" w:eastAsia="Arial" w:hAnsi="Arial"/>
          <w:sz w:val="17"/>
          <w:szCs w:val="17"/>
          <w:color w:val="auto"/>
        </w:rPr>
        <w:t>’</w:t>
      </w:r>
      <w:r>
        <w:rPr>
          <w:rFonts w:ascii="Arial" w:cs="Arial" w:eastAsia="Arial" w:hAnsi="Arial"/>
          <w:sz w:val="22"/>
          <w:szCs w:val="22"/>
          <w:color w:val="auto"/>
        </w:rPr>
        <w:t xml:space="preserve">s ability to satisfy current and future obligations, pay dividends, fund future business opportunities and repurchase stock, the Company believes that it provides useful information to investors. Free cash flow before dividends is not a measure of cash available for discretionary expenditures since the Company has certain non-discretionary obligations such as debt service that are not deducted from the measure. See </w:t>
      </w:r>
      <w:r>
        <w:rPr>
          <w:rFonts w:ascii="Arial" w:cs="Arial" w:eastAsia="Arial" w:hAnsi="Arial"/>
          <w:sz w:val="17"/>
          <w:szCs w:val="17"/>
          <w:color w:val="auto"/>
        </w:rPr>
        <w:t>“</w:t>
      </w:r>
      <w:r>
        <w:rPr>
          <w:rFonts w:ascii="Arial" w:cs="Arial" w:eastAsia="Arial" w:hAnsi="Arial"/>
          <w:sz w:val="22"/>
          <w:szCs w:val="22"/>
          <w:color w:val="auto"/>
        </w:rPr>
        <w:t>Condensed Consolidated Statements of Cash Flows</w:t>
      </w:r>
      <w:r>
        <w:rPr>
          <w:rFonts w:ascii="Arial" w:cs="Arial" w:eastAsia="Arial" w:hAnsi="Arial"/>
          <w:sz w:val="17"/>
          <w:szCs w:val="17"/>
          <w:color w:val="auto"/>
        </w:rPr>
        <w:t>”</w:t>
      </w:r>
      <w:r>
        <w:rPr>
          <w:rFonts w:ascii="Arial" w:cs="Arial" w:eastAsia="Arial" w:hAnsi="Arial"/>
          <w:sz w:val="22"/>
          <w:szCs w:val="22"/>
          <w:color w:val="auto"/>
        </w:rPr>
        <w:t xml:space="preserve"> for the nine months ended September 30, 2026 and 2025 for a comparison of free cash flow before dividends to Net cash provided by operations as reported in accordance with GAAP.</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(See attached tables for third quarter results.)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Contacts</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Investor Relations: investor_relations@colpal.com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Communications: colgate_palmolive_media_inquiry@colpal.com</w:t>
      </w:r>
    </w:p>
    <w:p>
      <w:pPr>
        <w:sectPr>
          <w:pgSz w:w="11900" w:h="16838" w:orient="portrait"/>
          <w:cols w:equalWidth="0" w:num="1">
            <w:col w:w="11220"/>
          </w:cols>
          <w:pgMar w:left="320" w:top="1126" w:right="359" w:bottom="1440" w:gutter="0" w:footer="0" w:header="0"/>
        </w:sectPr>
      </w:pPr>
    </w:p>
    <w:bookmarkStart w:id="9" w:name="page10"/>
    <w:bookmarkEnd w:id="9"/>
    <w:p>
      <w:pPr>
        <w:ind w:left="10760"/>
        <w:spacing w:after="0"/>
        <w:rPr>
          <w:sz w:val="20"/>
          <w:szCs w:val="20"/>
          <w:color w:val="auto"/>
        </w:rPr>
      </w:pPr>
      <w:r>
        <w:rPr>
          <w:rFonts w:ascii="Times New Roman" w:cs="Times New Roman" w:eastAsia="Times New Roman" w:hAnsi="Times New Roman"/>
          <w:sz w:val="14"/>
          <w:szCs w:val="14"/>
          <w:b w:val="1"/>
          <w:bCs w:val="1"/>
          <w:color w:val="auto"/>
        </w:rPr>
        <w:t>Table 1</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5800" w:type="dxa"/>
            <w:vAlign w:val="bottom"/>
            <w:gridSpan w:val="2"/>
          </w:tcPr>
          <w:p>
            <w:pPr>
              <w:jc w:val="center"/>
              <w:ind w:right="1600"/>
              <w:spacing w:after="0"/>
              <w:rPr>
                <w:sz w:val="20"/>
                <w:szCs w:val="20"/>
                <w:color w:val="auto"/>
              </w:rPr>
            </w:pPr>
            <w:r>
              <w:rPr>
                <w:rFonts w:ascii="Times New Roman" w:cs="Times New Roman" w:eastAsia="Times New Roman" w:hAnsi="Times New Roman"/>
                <w:sz w:val="14"/>
                <w:szCs w:val="14"/>
                <w:b w:val="1"/>
                <w:bCs w:val="1"/>
                <w:color w:val="auto"/>
              </w:rPr>
              <w:t>Colgate-Palmolive Company</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432"/>
        </w:trPr>
        <w:tc>
          <w:tcPr>
            <w:tcW w:w="3500" w:type="dxa"/>
            <w:vAlign w:val="bottom"/>
          </w:tcPr>
          <w:p>
            <w:pPr>
              <w:spacing w:after="0"/>
              <w:rPr>
                <w:sz w:val="24"/>
                <w:szCs w:val="24"/>
                <w:color w:val="auto"/>
              </w:rPr>
            </w:pPr>
          </w:p>
        </w:tc>
        <w:tc>
          <w:tcPr>
            <w:tcW w:w="5800" w:type="dxa"/>
            <w:vAlign w:val="bottom"/>
            <w:gridSpan w:val="2"/>
          </w:tcPr>
          <w:p>
            <w:pPr>
              <w:jc w:val="center"/>
              <w:ind w:right="160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Income</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3500" w:type="dxa"/>
            <w:vAlign w:val="bottom"/>
          </w:tcPr>
          <w:p>
            <w:pPr>
              <w:spacing w:after="0"/>
              <w:rPr>
                <w:sz w:val="24"/>
                <w:szCs w:val="24"/>
                <w:color w:val="auto"/>
              </w:rPr>
            </w:pPr>
          </w:p>
        </w:tc>
        <w:tc>
          <w:tcPr>
            <w:tcW w:w="5800" w:type="dxa"/>
            <w:vAlign w:val="bottom"/>
            <w:gridSpan w:val="2"/>
          </w:tcPr>
          <w:p>
            <w:pPr>
              <w:jc w:val="center"/>
              <w:ind w:right="15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2026 and 2025</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3500" w:type="dxa"/>
            <w:vAlign w:val="bottom"/>
          </w:tcPr>
          <w:p>
            <w:pPr>
              <w:spacing w:after="0"/>
              <w:rPr>
                <w:sz w:val="24"/>
                <w:szCs w:val="24"/>
                <w:color w:val="auto"/>
              </w:rPr>
            </w:pPr>
          </w:p>
        </w:tc>
        <w:tc>
          <w:tcPr>
            <w:tcW w:w="5800" w:type="dxa"/>
            <w:vAlign w:val="bottom"/>
            <w:gridSpan w:val="2"/>
          </w:tcPr>
          <w:p>
            <w:pPr>
              <w:jc w:val="center"/>
              <w:ind w:right="160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Amounts) (Unaudited)</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3500" w:type="dxa"/>
            <w:vAlign w:val="bottom"/>
          </w:tcPr>
          <w:p>
            <w:pPr>
              <w:spacing w:after="0"/>
              <w:rPr>
                <w:sz w:val="24"/>
                <w:szCs w:val="24"/>
                <w:color w:val="auto"/>
              </w:rPr>
            </w:pPr>
          </w:p>
        </w:tc>
        <w:tc>
          <w:tcPr>
            <w:tcW w:w="5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2025</w:t>
            </w:r>
          </w:p>
        </w:tc>
      </w:tr>
      <w:tr>
        <w:trPr>
          <w:trHeight w:val="23"/>
        </w:trPr>
        <w:tc>
          <w:tcPr>
            <w:tcW w:w="35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388"/>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Net sales</w:t>
            </w:r>
          </w:p>
        </w:tc>
        <w:tc>
          <w:tcPr>
            <w:tcW w:w="58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95"/>
              </w:rPr>
              <w:t>5,369</w:t>
            </w:r>
          </w:p>
        </w:tc>
        <w:tc>
          <w:tcPr>
            <w:tcW w:w="120" w:type="dxa"/>
            <w:vAlign w:val="bottom"/>
          </w:tcPr>
          <w:p>
            <w:pPr>
              <w:spacing w:after="0"/>
              <w:rPr>
                <w:sz w:val="24"/>
                <w:szCs w:val="24"/>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5,131</w:t>
            </w:r>
          </w:p>
        </w:tc>
      </w:tr>
      <w:tr>
        <w:trPr>
          <w:trHeight w:val="419"/>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5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95"/>
              </w:rPr>
              <w:t>2,136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2,082</w:t>
            </w:r>
          </w:p>
        </w:tc>
      </w:tr>
      <w:tr>
        <w:trPr>
          <w:trHeight w:val="418"/>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5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95"/>
              </w:rPr>
              <w:t>3,233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3,049</w:t>
            </w:r>
          </w:p>
        </w:tc>
      </w:tr>
      <w:tr>
        <w:trPr>
          <w:trHeight w:val="418"/>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Gross profit margin</w:t>
            </w:r>
          </w:p>
        </w:tc>
        <w:tc>
          <w:tcPr>
            <w:tcW w:w="5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60.2 %</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59.4 %</w:t>
            </w:r>
          </w:p>
        </w:tc>
      </w:tr>
      <w:tr>
        <w:trPr>
          <w:trHeight w:val="418"/>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5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95"/>
              </w:rPr>
              <w:t>2,111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1,971</w:t>
            </w:r>
          </w:p>
        </w:tc>
      </w:tr>
      <w:tr>
        <w:trPr>
          <w:trHeight w:val="418"/>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5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w:t>
            </w:r>
          </w:p>
        </w:tc>
      </w:tr>
      <w:tr>
        <w:trPr>
          <w:trHeight w:val="418"/>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Operating profit</w:t>
            </w:r>
          </w:p>
        </w:tc>
        <w:tc>
          <w:tcPr>
            <w:tcW w:w="5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95"/>
              </w:rPr>
              <w:t>1,088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1,059</w:t>
            </w:r>
          </w:p>
        </w:tc>
      </w:tr>
      <w:tr>
        <w:trPr>
          <w:trHeight w:val="419"/>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Operating profit margin</w:t>
            </w:r>
          </w:p>
        </w:tc>
        <w:tc>
          <w:tcPr>
            <w:tcW w:w="5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20.3 %</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20.6 %</w:t>
            </w:r>
          </w:p>
        </w:tc>
      </w:tr>
      <w:tr>
        <w:trPr>
          <w:trHeight w:val="418"/>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Non-service related postretirement costs</w:t>
            </w:r>
          </w:p>
        </w:tc>
        <w:tc>
          <w:tcPr>
            <w:tcW w:w="5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w:t>
            </w:r>
          </w:p>
        </w:tc>
      </w:tr>
      <w:tr>
        <w:trPr>
          <w:trHeight w:val="418"/>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5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67</w:t>
            </w:r>
          </w:p>
        </w:tc>
      </w:tr>
      <w:tr>
        <w:trPr>
          <w:trHeight w:val="418"/>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5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w:t>
            </w:r>
          </w:p>
        </w:tc>
      </w:tr>
      <w:tr>
        <w:trPr>
          <w:trHeight w:val="419"/>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5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95"/>
              </w:rPr>
              <w:t>1,019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992</w:t>
            </w:r>
          </w:p>
        </w:tc>
      </w:tr>
      <w:tr>
        <w:trPr>
          <w:trHeight w:val="418"/>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5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226</w:t>
            </w:r>
          </w:p>
        </w:tc>
      </w:tr>
      <w:tr>
        <w:trPr>
          <w:trHeight w:val="418"/>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Effective tax rate</w:t>
            </w:r>
          </w:p>
        </w:tc>
        <w:tc>
          <w:tcPr>
            <w:tcW w:w="5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23.6 %</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22.8 %</w:t>
            </w:r>
          </w:p>
        </w:tc>
      </w:tr>
      <w:tr>
        <w:trPr>
          <w:trHeight w:val="418"/>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Net income including noncontrolling interests</w:t>
            </w:r>
          </w:p>
        </w:tc>
        <w:tc>
          <w:tcPr>
            <w:tcW w:w="5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779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766</w:t>
            </w:r>
          </w:p>
        </w:tc>
      </w:tr>
      <w:tr>
        <w:trPr>
          <w:trHeight w:val="419"/>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5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31</w:t>
            </w:r>
          </w:p>
        </w:tc>
      </w:tr>
      <w:tr>
        <w:trPr>
          <w:trHeight w:val="418"/>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Net income attributable to Colgate-Palmolive Company</w:t>
            </w:r>
          </w:p>
        </w:tc>
        <w:tc>
          <w:tcPr>
            <w:tcW w:w="58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751</w:t>
            </w:r>
          </w:p>
        </w:tc>
        <w:tc>
          <w:tcPr>
            <w:tcW w:w="120" w:type="dxa"/>
            <w:vAlign w:val="bottom"/>
          </w:tcPr>
          <w:p>
            <w:pPr>
              <w:spacing w:after="0"/>
              <w:rPr>
                <w:sz w:val="24"/>
                <w:szCs w:val="24"/>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735</w:t>
            </w:r>
          </w:p>
        </w:tc>
      </w:tr>
      <w:tr>
        <w:trPr>
          <w:trHeight w:val="418"/>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Earnings per common share</w:t>
            </w:r>
          </w:p>
        </w:tc>
        <w:tc>
          <w:tcPr>
            <w:tcW w:w="5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58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0.94</w:t>
            </w:r>
          </w:p>
        </w:tc>
        <w:tc>
          <w:tcPr>
            <w:tcW w:w="120" w:type="dxa"/>
            <w:vAlign w:val="bottom"/>
          </w:tcPr>
          <w:p>
            <w:pPr>
              <w:spacing w:after="0"/>
              <w:rPr>
                <w:sz w:val="18"/>
                <w:szCs w:val="18"/>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0.91</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58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0.94</w:t>
            </w:r>
          </w:p>
        </w:tc>
        <w:tc>
          <w:tcPr>
            <w:tcW w:w="120" w:type="dxa"/>
            <w:vAlign w:val="bottom"/>
          </w:tcPr>
          <w:p>
            <w:pPr>
              <w:spacing w:after="0"/>
              <w:rPr>
                <w:sz w:val="18"/>
                <w:szCs w:val="18"/>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0.91</w:t>
            </w:r>
          </w:p>
        </w:tc>
      </w:tr>
      <w:tr>
        <w:trPr>
          <w:trHeight w:val="419"/>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Supplemental Income Statement Information</w:t>
            </w:r>
          </w:p>
        </w:tc>
        <w:tc>
          <w:tcPr>
            <w:tcW w:w="5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Average common shares outstanding</w:t>
            </w:r>
          </w:p>
        </w:tc>
        <w:tc>
          <w:tcPr>
            <w:tcW w:w="5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5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95"/>
              </w:rPr>
              <w:t>796.9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807.8</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5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95"/>
              </w:rPr>
              <w:t>799.7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810.2</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Advertising</w:t>
            </w:r>
          </w:p>
        </w:tc>
        <w:tc>
          <w:tcPr>
            <w:tcW w:w="58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775</w:t>
            </w:r>
          </w:p>
        </w:tc>
        <w:tc>
          <w:tcPr>
            <w:tcW w:w="120" w:type="dxa"/>
            <w:vAlign w:val="bottom"/>
          </w:tcPr>
          <w:p>
            <w:pPr>
              <w:spacing w:after="0"/>
              <w:rPr>
                <w:sz w:val="24"/>
                <w:szCs w:val="24"/>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674</w:t>
            </w:r>
          </w:p>
        </w:tc>
      </w:tr>
    </w:tbl>
    <w:p>
      <w:pPr>
        <w:sectPr>
          <w:pgSz w:w="11900" w:h="16838" w:orient="portrait"/>
          <w:cols w:equalWidth="0" w:num="1">
            <w:col w:w="11220"/>
          </w:cols>
          <w:pgMar w:left="340" w:top="938" w:right="339" w:bottom="1440" w:gutter="0" w:footer="0" w:header="0"/>
        </w:sectPr>
      </w:pPr>
    </w:p>
    <w:bookmarkStart w:id="10" w:name="page11"/>
    <w:bookmarkEnd w:id="10"/>
    <w:p>
      <w:pPr>
        <w:ind w:left="10700"/>
        <w:spacing w:after="0"/>
        <w:rPr>
          <w:sz w:val="20"/>
          <w:szCs w:val="20"/>
          <w:color w:val="auto"/>
        </w:rPr>
      </w:pPr>
      <w:r>
        <w:rPr>
          <w:rFonts w:ascii="Times New Roman" w:cs="Times New Roman" w:eastAsia="Times New Roman" w:hAnsi="Times New Roman"/>
          <w:sz w:val="14"/>
          <w:szCs w:val="14"/>
          <w:b w:val="1"/>
          <w:bCs w:val="1"/>
          <w:color w:val="auto"/>
        </w:rPr>
        <w:t>Table 2</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80" w:type="dxa"/>
            <w:vAlign w:val="bottom"/>
          </w:tcPr>
          <w:p>
            <w:pPr>
              <w:spacing w:after="0"/>
              <w:rPr>
                <w:sz w:val="16"/>
                <w:szCs w:val="16"/>
                <w:color w:val="auto"/>
              </w:rPr>
            </w:pPr>
          </w:p>
        </w:tc>
        <w:tc>
          <w:tcPr>
            <w:tcW w:w="5260" w:type="dxa"/>
            <w:vAlign w:val="bottom"/>
            <w:gridSpan w:val="2"/>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Colgate-Palmolive Company</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432"/>
        </w:trPr>
        <w:tc>
          <w:tcPr>
            <w:tcW w:w="3480" w:type="dxa"/>
            <w:vAlign w:val="bottom"/>
          </w:tcPr>
          <w:p>
            <w:pPr>
              <w:spacing w:after="0"/>
              <w:rPr>
                <w:sz w:val="24"/>
                <w:szCs w:val="24"/>
                <w:color w:val="auto"/>
              </w:rPr>
            </w:pPr>
          </w:p>
        </w:tc>
        <w:tc>
          <w:tcPr>
            <w:tcW w:w="5260" w:type="dxa"/>
            <w:vAlign w:val="bottom"/>
            <w:gridSpan w:val="2"/>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Income</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3480" w:type="dxa"/>
            <w:vAlign w:val="bottom"/>
          </w:tcPr>
          <w:p>
            <w:pPr>
              <w:spacing w:after="0"/>
              <w:rPr>
                <w:sz w:val="24"/>
                <w:szCs w:val="24"/>
                <w:color w:val="auto"/>
              </w:rPr>
            </w:pPr>
          </w:p>
        </w:tc>
        <w:tc>
          <w:tcPr>
            <w:tcW w:w="5260" w:type="dxa"/>
            <w:vAlign w:val="bottom"/>
            <w:gridSpan w:val="2"/>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2026 and 2025</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3480" w:type="dxa"/>
            <w:vAlign w:val="bottom"/>
          </w:tcPr>
          <w:p>
            <w:pPr>
              <w:spacing w:after="0"/>
              <w:rPr>
                <w:sz w:val="24"/>
                <w:szCs w:val="24"/>
                <w:color w:val="auto"/>
              </w:rPr>
            </w:pPr>
          </w:p>
        </w:tc>
        <w:tc>
          <w:tcPr>
            <w:tcW w:w="5260" w:type="dxa"/>
            <w:vAlign w:val="bottom"/>
            <w:gridSpan w:val="2"/>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Amounts) (Unaudited)</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34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2026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2025</w:t>
            </w:r>
          </w:p>
        </w:tc>
      </w:tr>
      <w:tr>
        <w:trPr>
          <w:trHeight w:val="23"/>
        </w:trPr>
        <w:tc>
          <w:tcPr>
            <w:tcW w:w="348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388"/>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Net sales</w:t>
            </w:r>
          </w:p>
        </w:tc>
        <w:tc>
          <w:tcPr>
            <w:tcW w:w="5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16,055</w:t>
            </w:r>
          </w:p>
        </w:tc>
        <w:tc>
          <w:tcPr>
            <w:tcW w:w="120" w:type="dxa"/>
            <w:vAlign w:val="bottom"/>
          </w:tcPr>
          <w:p>
            <w:pPr>
              <w:spacing w:after="0"/>
              <w:rPr>
                <w:sz w:val="24"/>
                <w:szCs w:val="24"/>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15,152</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4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6,300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6,047</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4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9,755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9,105</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Gross profit margin</w:t>
            </w:r>
          </w:p>
        </w:tc>
        <w:tc>
          <w:tcPr>
            <w:tcW w:w="4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60.8 %</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60.1 %</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4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6,316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5,833</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4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370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58</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Operating profit</w:t>
            </w:r>
          </w:p>
        </w:tc>
        <w:tc>
          <w:tcPr>
            <w:tcW w:w="4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3,069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3,214</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Operating profit margin</w:t>
            </w:r>
          </w:p>
        </w:tc>
        <w:tc>
          <w:tcPr>
            <w:tcW w:w="4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19.1 %</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21.2 %</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Non-service related postretirement costs</w:t>
            </w:r>
          </w:p>
        </w:tc>
        <w:tc>
          <w:tcPr>
            <w:tcW w:w="4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116</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4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186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203</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4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56</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4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2,863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2,951</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4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682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685</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Effective tax rate</w:t>
            </w:r>
          </w:p>
        </w:tc>
        <w:tc>
          <w:tcPr>
            <w:tcW w:w="4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23.8 %</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23.2 %</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Net income including noncontrolling interests</w:t>
            </w:r>
          </w:p>
        </w:tc>
        <w:tc>
          <w:tcPr>
            <w:tcW w:w="4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2,181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2,266</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4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97</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Net income attributable to Colgate-Palmolive Company</w:t>
            </w:r>
          </w:p>
        </w:tc>
        <w:tc>
          <w:tcPr>
            <w:tcW w:w="5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2,090</w:t>
            </w:r>
          </w:p>
        </w:tc>
        <w:tc>
          <w:tcPr>
            <w:tcW w:w="120" w:type="dxa"/>
            <w:vAlign w:val="bottom"/>
          </w:tcPr>
          <w:p>
            <w:pPr>
              <w:spacing w:after="0"/>
              <w:rPr>
                <w:sz w:val="24"/>
                <w:szCs w:val="24"/>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2,169</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Earnings per common share</w:t>
            </w:r>
          </w:p>
        </w:tc>
        <w:tc>
          <w:tcPr>
            <w:tcW w:w="4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41"/>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Basic</w:t>
            </w:r>
            <w:r>
              <w:rPr>
                <w:rFonts w:ascii="Times New Roman" w:cs="Times New Roman" w:eastAsia="Times New Roman" w:hAnsi="Times New Roman"/>
                <w:sz w:val="18"/>
                <w:szCs w:val="18"/>
                <w:color w:val="auto"/>
                <w:vertAlign w:val="superscript"/>
              </w:rPr>
              <w:t>(1)</w:t>
            </w:r>
          </w:p>
        </w:tc>
        <w:tc>
          <w:tcPr>
            <w:tcW w:w="5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2.61</w:t>
            </w:r>
          </w:p>
        </w:tc>
        <w:tc>
          <w:tcPr>
            <w:tcW w:w="120" w:type="dxa"/>
            <w:vAlign w:val="bottom"/>
          </w:tcPr>
          <w:p>
            <w:pPr>
              <w:spacing w:after="0"/>
              <w:rPr>
                <w:sz w:val="20"/>
                <w:szCs w:val="20"/>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2.68</w:t>
            </w:r>
          </w:p>
        </w:tc>
      </w:tr>
      <w:tr>
        <w:trPr>
          <w:trHeight w:val="246"/>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r>
              <w:rPr>
                <w:rFonts w:ascii="Times New Roman" w:cs="Times New Roman" w:eastAsia="Times New Roman" w:hAnsi="Times New Roman"/>
                <w:sz w:val="18"/>
                <w:szCs w:val="18"/>
                <w:color w:val="auto"/>
                <w:vertAlign w:val="superscript"/>
              </w:rPr>
              <w:t>(1)</w:t>
            </w:r>
          </w:p>
        </w:tc>
        <w:tc>
          <w:tcPr>
            <w:tcW w:w="5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2.61</w:t>
            </w:r>
          </w:p>
        </w:tc>
        <w:tc>
          <w:tcPr>
            <w:tcW w:w="120" w:type="dxa"/>
            <w:vAlign w:val="bottom"/>
          </w:tcPr>
          <w:p>
            <w:pPr>
              <w:spacing w:after="0"/>
              <w:rPr>
                <w:sz w:val="21"/>
                <w:szCs w:val="21"/>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2.67</w:t>
            </w:r>
          </w:p>
        </w:tc>
      </w:tr>
      <w:tr>
        <w:trPr>
          <w:trHeight w:val="377"/>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Supplemental Income Statement Information</w:t>
            </w:r>
          </w:p>
        </w:tc>
        <w:tc>
          <w:tcPr>
            <w:tcW w:w="4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Average common shares outstanding</w:t>
            </w:r>
          </w:p>
        </w:tc>
        <w:tc>
          <w:tcPr>
            <w:tcW w:w="4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4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799.5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810.0</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4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802.2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812.8</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Advertising</w:t>
            </w:r>
          </w:p>
        </w:tc>
        <w:tc>
          <w:tcPr>
            <w:tcW w:w="5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2,286</w:t>
            </w:r>
          </w:p>
        </w:tc>
        <w:tc>
          <w:tcPr>
            <w:tcW w:w="120" w:type="dxa"/>
            <w:vAlign w:val="bottom"/>
          </w:tcPr>
          <w:p>
            <w:pPr>
              <w:spacing w:after="0"/>
              <w:rPr>
                <w:sz w:val="24"/>
                <w:szCs w:val="24"/>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2,020</w:t>
            </w: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w:t>
      </w:r>
    </w:p>
    <w:p>
      <w:pPr>
        <w:spacing w:after="0" w:line="27" w:lineRule="exact"/>
        <w:rPr>
          <w:sz w:val="20"/>
          <w:szCs w:val="20"/>
          <w:color w:val="auto"/>
        </w:rPr>
      </w:pPr>
    </w:p>
    <w:p>
      <w:pPr>
        <w:ind w:right="300" w:firstLine="6"/>
        <w:spacing w:after="0" w:line="283" w:lineRule="auto"/>
        <w:tabs>
          <w:tab w:leader="none" w:pos="204"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Basic and diluted earnings per share are computed independently for each quarter and any year-to-date period presented. As a result of changes in shares outstanding during the year and rounding, the sum of the quarters' earnings per share may not equal the earnings per share for any year-to-date period.</w:t>
      </w:r>
    </w:p>
    <w:p>
      <w:pPr>
        <w:sectPr>
          <w:pgSz w:w="11900" w:h="16838" w:orient="portrait"/>
          <w:cols w:equalWidth="0" w:num="1">
            <w:col w:w="11160"/>
          </w:cols>
          <w:pgMar w:left="340" w:top="938" w:right="399" w:bottom="1440" w:gutter="0" w:footer="0" w:header="0"/>
        </w:sectPr>
      </w:pPr>
    </w:p>
    <w:bookmarkStart w:id="11" w:name="page12"/>
    <w:bookmarkEnd w:id="11"/>
    <w:p>
      <w:pPr>
        <w:ind w:left="10780"/>
        <w:spacing w:after="0"/>
        <w:rPr>
          <w:sz w:val="20"/>
          <w:szCs w:val="20"/>
          <w:color w:val="auto"/>
        </w:rPr>
      </w:pPr>
      <w:r>
        <w:rPr>
          <w:rFonts w:ascii="Times New Roman" w:cs="Times New Roman" w:eastAsia="Times New Roman" w:hAnsi="Times New Roman"/>
          <w:sz w:val="14"/>
          <w:szCs w:val="14"/>
          <w:b w:val="1"/>
          <w:bCs w:val="1"/>
          <w:color w:val="auto"/>
        </w:rPr>
        <w:t>Table 3</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of September 30, 2026, December 31, 2025 and September 30, 2025</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(Unaudited)</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September 30,</w:t>
            </w:r>
          </w:p>
        </w:tc>
        <w:tc>
          <w:tcPr>
            <w:tcW w:w="20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December 31,</w:t>
            </w:r>
          </w:p>
        </w:tc>
        <w:tc>
          <w:tcPr>
            <w:tcW w:w="180" w:type="dxa"/>
            <w:vAlign w:val="bottom"/>
          </w:tcPr>
          <w:p>
            <w:pPr>
              <w:spacing w:after="0"/>
              <w:rPr>
                <w:sz w:val="16"/>
                <w:szCs w:val="16"/>
                <w:color w:val="auto"/>
              </w:rPr>
            </w:pPr>
          </w:p>
        </w:tc>
        <w:tc>
          <w:tcPr>
            <w:tcW w:w="12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3"/>
        </w:trPr>
        <w:tc>
          <w:tcPr>
            <w:tcW w:w="68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800" w:type="dxa"/>
            <w:vAlign w:val="bottom"/>
            <w:vMerge w:val="continue"/>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1,527</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1,288</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1,279</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Receivables, net</w:t>
            </w:r>
          </w:p>
        </w:tc>
        <w:tc>
          <w:tcPr>
            <w:tcW w:w="180" w:type="dxa"/>
            <w:vAlign w:val="bottom"/>
          </w:tcPr>
          <w:p>
            <w:pPr>
              <w:spacing w:after="0"/>
              <w:rPr>
                <w:sz w:val="18"/>
                <w:szCs w:val="18"/>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1,807</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Inventories</w:t>
            </w:r>
          </w:p>
        </w:tc>
        <w:tc>
          <w:tcPr>
            <w:tcW w:w="180" w:type="dxa"/>
            <w:vAlign w:val="bottom"/>
          </w:tcPr>
          <w:p>
            <w:pPr>
              <w:spacing w:after="0"/>
              <w:rPr>
                <w:sz w:val="18"/>
                <w:szCs w:val="18"/>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2,109</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Other current assets</w:t>
            </w:r>
          </w:p>
        </w:tc>
        <w:tc>
          <w:tcPr>
            <w:tcW w:w="180" w:type="dxa"/>
            <w:vAlign w:val="bottom"/>
          </w:tcPr>
          <w:p>
            <w:pPr>
              <w:spacing w:after="0"/>
              <w:rPr>
                <w:sz w:val="18"/>
                <w:szCs w:val="18"/>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844</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180" w:type="dxa"/>
            <w:vAlign w:val="bottom"/>
          </w:tcPr>
          <w:p>
            <w:pPr>
              <w:spacing w:after="0"/>
              <w:rPr>
                <w:sz w:val="18"/>
                <w:szCs w:val="18"/>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4,613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4,660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4,560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180" w:type="dxa"/>
            <w:vAlign w:val="bottom"/>
          </w:tcPr>
          <w:p>
            <w:pPr>
              <w:spacing w:after="0"/>
              <w:rPr>
                <w:sz w:val="18"/>
                <w:szCs w:val="18"/>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3,080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3,122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3,702</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180" w:type="dxa"/>
            <w:vAlign w:val="bottom"/>
          </w:tcPr>
          <w:p>
            <w:pPr>
              <w:spacing w:after="0"/>
              <w:rPr>
                <w:sz w:val="18"/>
                <w:szCs w:val="18"/>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1,889</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tcPr>
          <w:p>
            <w:pPr>
              <w:spacing w:after="0"/>
              <w:rPr>
                <w:sz w:val="18"/>
                <w:szCs w:val="18"/>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1,323</w:t>
            </w:r>
          </w:p>
        </w:tc>
        <w:tc>
          <w:tcPr>
            <w:tcW w:w="0" w:type="dxa"/>
            <w:vAlign w:val="bottom"/>
          </w:tcPr>
          <w:p>
            <w:pPr>
              <w:spacing w:after="0"/>
              <w:rPr>
                <w:sz w:val="1"/>
                <w:szCs w:val="1"/>
                <w:color w:val="auto"/>
              </w:rPr>
            </w:pPr>
          </w:p>
        </w:tc>
      </w:tr>
      <w:tr>
        <w:trPr>
          <w:trHeight w:val="23"/>
        </w:trPr>
        <w:tc>
          <w:tcPr>
            <w:tcW w:w="68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800" w:type="dxa"/>
            <w:vAlign w:val="bottom"/>
            <w:vMerge w:val="continue"/>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16,742</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16,330</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17,513</w:t>
            </w:r>
          </w:p>
        </w:tc>
        <w:tc>
          <w:tcPr>
            <w:tcW w:w="0" w:type="dxa"/>
            <w:vAlign w:val="bottom"/>
          </w:tcPr>
          <w:p>
            <w:pPr>
              <w:spacing w:after="0"/>
              <w:rPr>
                <w:sz w:val="1"/>
                <w:szCs w:val="1"/>
                <w:color w:val="auto"/>
              </w:rPr>
            </w:pPr>
          </w:p>
        </w:tc>
      </w:tr>
      <w:tr>
        <w:trPr>
          <w:trHeight w:val="23"/>
        </w:trPr>
        <w:tc>
          <w:tcPr>
            <w:tcW w:w="6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5"/>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Total debt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7,716</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7,988</w:t>
            </w:r>
          </w:p>
        </w:tc>
        <w:tc>
          <w:tcPr>
            <w:tcW w:w="120" w:type="dxa"/>
            <w:vAlign w:val="bottom"/>
          </w:tcPr>
          <w:p>
            <w:pPr>
              <w:spacing w:after="0"/>
              <w:rPr>
                <w:sz w:val="24"/>
                <w:szCs w:val="24"/>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8,419</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80" w:type="dxa"/>
            <w:vAlign w:val="bottom"/>
          </w:tcPr>
          <w:p>
            <w:pPr>
              <w:spacing w:after="0"/>
              <w:rPr>
                <w:sz w:val="18"/>
                <w:szCs w:val="18"/>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6,107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5,736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5,383</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180" w:type="dxa"/>
            <w:vAlign w:val="bottom"/>
          </w:tcPr>
          <w:p>
            <w:pPr>
              <w:spacing w:after="0"/>
              <w:rPr>
                <w:sz w:val="18"/>
                <w:szCs w:val="18"/>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2,473</w:t>
            </w:r>
          </w:p>
        </w:tc>
        <w:tc>
          <w:tcPr>
            <w:tcW w:w="0" w:type="dxa"/>
            <w:vAlign w:val="bottom"/>
          </w:tcPr>
          <w:p>
            <w:pPr>
              <w:spacing w:after="0"/>
              <w:rPr>
                <w:sz w:val="1"/>
                <w:szCs w:val="1"/>
                <w:color w:val="auto"/>
              </w:rPr>
            </w:pPr>
          </w:p>
        </w:tc>
      </w:tr>
      <w:tr>
        <w:trPr>
          <w:trHeight w:val="23"/>
        </w:trPr>
        <w:tc>
          <w:tcPr>
            <w:tcW w:w="68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Total liabilities</w:t>
            </w: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8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16,102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15,965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16,275</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Total Colgate-Palmolive Company shareholders’ equity</w:t>
            </w:r>
          </w:p>
        </w:tc>
        <w:tc>
          <w:tcPr>
            <w:tcW w:w="180" w:type="dxa"/>
            <w:vAlign w:val="bottom"/>
          </w:tcPr>
          <w:p>
            <w:pPr>
              <w:spacing w:after="0"/>
              <w:rPr>
                <w:sz w:val="18"/>
                <w:szCs w:val="18"/>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856</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 interests</w:t>
            </w:r>
          </w:p>
        </w:tc>
        <w:tc>
          <w:tcPr>
            <w:tcW w:w="180" w:type="dxa"/>
            <w:vAlign w:val="bottom"/>
          </w:tcPr>
          <w:p>
            <w:pPr>
              <w:spacing w:after="0"/>
              <w:rPr>
                <w:sz w:val="18"/>
                <w:szCs w:val="18"/>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382</w:t>
            </w:r>
          </w:p>
        </w:tc>
        <w:tc>
          <w:tcPr>
            <w:tcW w:w="0" w:type="dxa"/>
            <w:vAlign w:val="bottom"/>
          </w:tcPr>
          <w:p>
            <w:pPr>
              <w:spacing w:after="0"/>
              <w:rPr>
                <w:sz w:val="1"/>
                <w:szCs w:val="1"/>
                <w:color w:val="auto"/>
              </w:rPr>
            </w:pPr>
          </w:p>
        </w:tc>
      </w:tr>
      <w:tr>
        <w:trPr>
          <w:trHeight w:val="23"/>
        </w:trPr>
        <w:tc>
          <w:tcPr>
            <w:tcW w:w="68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800" w:type="dxa"/>
            <w:vAlign w:val="bottom"/>
            <w:vMerge w:val="continue"/>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16,742</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16,330</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17,513</w:t>
            </w:r>
          </w:p>
        </w:tc>
        <w:tc>
          <w:tcPr>
            <w:tcW w:w="0" w:type="dxa"/>
            <w:vAlign w:val="bottom"/>
          </w:tcPr>
          <w:p>
            <w:pPr>
              <w:spacing w:after="0"/>
              <w:rPr>
                <w:sz w:val="1"/>
                <w:szCs w:val="1"/>
                <w:color w:val="auto"/>
              </w:rPr>
            </w:pPr>
          </w:p>
        </w:tc>
      </w:tr>
      <w:tr>
        <w:trPr>
          <w:trHeight w:val="23"/>
        </w:trPr>
        <w:tc>
          <w:tcPr>
            <w:tcW w:w="6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Supplemental Balance Sheet Information</w:t>
            </w: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0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5"/>
        </w:trPr>
        <w:tc>
          <w:tcPr>
            <w:tcW w:w="68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Debt less cash, cash equivalents and marketable securities</w:t>
            </w:r>
            <w:r>
              <w:rPr>
                <w:rFonts w:ascii="Times New Roman" w:cs="Times New Roman" w:eastAsia="Times New Roman" w:hAnsi="Times New Roman"/>
                <w:sz w:val="18"/>
                <w:szCs w:val="18"/>
                <w:color w:val="auto"/>
                <w:vertAlign w:val="superscript"/>
              </w:rPr>
              <w:t>(1)</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6,104</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6,593</w:t>
            </w:r>
          </w:p>
        </w:tc>
        <w:tc>
          <w:tcPr>
            <w:tcW w:w="120" w:type="dxa"/>
            <w:vAlign w:val="bottom"/>
          </w:tcPr>
          <w:p>
            <w:pPr>
              <w:spacing w:after="0"/>
              <w:rPr>
                <w:sz w:val="21"/>
                <w:szCs w:val="21"/>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6,947</w:t>
            </w:r>
          </w:p>
        </w:tc>
        <w:tc>
          <w:tcPr>
            <w:tcW w:w="0" w:type="dxa"/>
            <w:vAlign w:val="bottom"/>
          </w:tcPr>
          <w:p>
            <w:pPr>
              <w:spacing w:after="0"/>
              <w:rPr>
                <w:sz w:val="1"/>
                <w:szCs w:val="1"/>
                <w:color w:val="auto"/>
              </w:rPr>
            </w:pPr>
          </w:p>
        </w:tc>
      </w:tr>
      <w:tr>
        <w:trPr>
          <w:trHeight w:val="188"/>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Working capital % of sales</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bl>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Marketable securities of $85</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$107 and $193 as of September 30, 2026, December 31, 2025 and September 30, 2025, respectively, are included in Other current assets.</w:t>
      </w:r>
    </w:p>
    <w:p>
      <w:pPr>
        <w:sectPr>
          <w:pgSz w:w="11900" w:h="16838" w:orient="portrait"/>
          <w:cols w:equalWidth="0" w:num="1">
            <w:col w:w="11240"/>
          </w:cols>
          <w:pgMar w:left="320" w:top="938" w:right="339" w:bottom="1440" w:gutter="0" w:footer="0" w:header="0"/>
        </w:sectPr>
      </w:pPr>
    </w:p>
    <w:bookmarkStart w:id="12" w:name="page13"/>
    <w:bookmarkEnd w:id="12"/>
    <w:p>
      <w:pPr>
        <w:ind w:left="10760"/>
        <w:spacing w:after="0"/>
        <w:rPr>
          <w:sz w:val="20"/>
          <w:szCs w:val="20"/>
          <w:color w:val="auto"/>
        </w:rPr>
      </w:pPr>
      <w:r>
        <w:rPr>
          <w:rFonts w:ascii="Times New Roman" w:cs="Times New Roman" w:eastAsia="Times New Roman" w:hAnsi="Times New Roman"/>
          <w:sz w:val="14"/>
          <w:szCs w:val="14"/>
          <w:b w:val="1"/>
          <w:bCs w:val="1"/>
          <w:color w:val="auto"/>
        </w:rPr>
        <w:t>Table 4</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jc w:val="center"/>
              <w:ind w:left="2728"/>
              <w:spacing w:after="0"/>
              <w:rPr>
                <w:sz w:val="20"/>
                <w:szCs w:val="20"/>
                <w:color w:val="auto"/>
              </w:rPr>
            </w:pPr>
            <w:r>
              <w:rPr>
                <w:rFonts w:ascii="Times New Roman" w:cs="Times New Roman" w:eastAsia="Times New Roman" w:hAnsi="Times New Roman"/>
                <w:sz w:val="14"/>
                <w:szCs w:val="14"/>
                <w:b w:val="1"/>
                <w:bCs w:val="1"/>
                <w:color w:val="auto"/>
              </w:rPr>
              <w:t>Colgate-Palmolive Company</w:t>
            </w: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8400" w:type="dxa"/>
            <w:vAlign w:val="bottom"/>
          </w:tcPr>
          <w:p>
            <w:pPr>
              <w:jc w:val="center"/>
              <w:ind w:left="2748"/>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400" w:type="dxa"/>
            <w:vAlign w:val="bottom"/>
          </w:tcPr>
          <w:p>
            <w:pPr>
              <w:jc w:val="center"/>
              <w:ind w:left="2728"/>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2026 and 2025</w:t>
            </w: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400" w:type="dxa"/>
            <w:vAlign w:val="bottom"/>
          </w:tcPr>
          <w:p>
            <w:pPr>
              <w:jc w:val="center"/>
              <w:ind w:left="2748"/>
              <w:spacing w:after="0"/>
              <w:rPr>
                <w:sz w:val="20"/>
                <w:szCs w:val="20"/>
                <w:color w:val="auto"/>
              </w:rPr>
            </w:pPr>
            <w:r>
              <w:rPr>
                <w:rFonts w:ascii="Times New Roman" w:cs="Times New Roman" w:eastAsia="Times New Roman" w:hAnsi="Times New Roman"/>
                <w:sz w:val="14"/>
                <w:szCs w:val="14"/>
                <w:b w:val="1"/>
                <w:bCs w:val="1"/>
                <w:color w:val="auto"/>
              </w:rPr>
              <w:t>(Dollars in Millions) (Unaudited)</w:t>
            </w: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3"/>
        </w:trPr>
        <w:tc>
          <w:tcPr>
            <w:tcW w:w="8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8400" w:type="dxa"/>
            <w:vAlign w:val="bottom"/>
            <w:vMerge w:val="continue"/>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 including noncontrolling interests</w:t>
            </w:r>
          </w:p>
        </w:tc>
        <w:tc>
          <w:tcPr>
            <w:tcW w:w="84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2,181</w:t>
            </w:r>
          </w:p>
        </w:tc>
        <w:tc>
          <w:tcPr>
            <w:tcW w:w="180" w:type="dxa"/>
            <w:vAlign w:val="bottom"/>
          </w:tcPr>
          <w:p>
            <w:pPr>
              <w:spacing w:after="0"/>
              <w:rPr>
                <w:sz w:val="18"/>
                <w:szCs w:val="18"/>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2,266</w:t>
            </w:r>
          </w:p>
        </w:tc>
        <w:tc>
          <w:tcPr>
            <w:tcW w:w="0" w:type="dxa"/>
            <w:vAlign w:val="bottom"/>
          </w:tcPr>
          <w:p>
            <w:pPr>
              <w:spacing w:after="0"/>
              <w:rPr>
                <w:sz w:val="1"/>
                <w:szCs w:val="1"/>
                <w:color w:val="auto"/>
              </w:rPr>
            </w:pPr>
          </w:p>
        </w:tc>
      </w:tr>
      <w:tr>
        <w:trPr>
          <w:trHeight w:val="216"/>
        </w:trPr>
        <w:tc>
          <w:tcPr>
            <w:tcW w:w="8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Adjustments to reconcile net income including noncontrolling interests to net cash provided by operations:</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0" w:type="dxa"/>
            <w:vAlign w:val="bottom"/>
          </w:tcPr>
          <w:p>
            <w:pPr>
              <w:spacing w:after="0"/>
              <w:rPr>
                <w:sz w:val="1"/>
                <w:szCs w:val="1"/>
                <w:color w:val="auto"/>
              </w:rPr>
            </w:pPr>
          </w:p>
        </w:tc>
      </w:tr>
      <w:tr>
        <w:trPr>
          <w:trHeight w:val="216"/>
        </w:trPr>
        <w:tc>
          <w:tcPr>
            <w:tcW w:w="8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ERISA litigation matter</w:t>
            </w:r>
          </w:p>
        </w:tc>
        <w:tc>
          <w:tcPr>
            <w:tcW w:w="84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216"/>
        </w:trPr>
        <w:tc>
          <w:tcPr>
            <w:tcW w:w="8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Restructuring and termination benefits, net of cash</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16"/>
        </w:trPr>
        <w:tc>
          <w:tcPr>
            <w:tcW w:w="8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216"/>
        </w:trPr>
        <w:tc>
          <w:tcPr>
            <w:tcW w:w="84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Deferred income taxes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16"/>
        </w:trPr>
        <w:tc>
          <w:tcPr>
            <w:tcW w:w="84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Cash effects of changes in:</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Receivables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216"/>
        </w:trPr>
        <w:tc>
          <w:tcPr>
            <w:tcW w:w="84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Inventories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16"/>
        </w:trPr>
        <w:tc>
          <w:tcPr>
            <w:tcW w:w="84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Accounts payable and other working capital</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16"/>
        </w:trPr>
        <w:tc>
          <w:tcPr>
            <w:tcW w:w="84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Other non-current assets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16"/>
        </w:trPr>
        <w:tc>
          <w:tcPr>
            <w:tcW w:w="84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23"/>
        </w:trPr>
        <w:tc>
          <w:tcPr>
            <w:tcW w:w="8400" w:type="dxa"/>
            <w:vAlign w:val="bottom"/>
            <w:vMerge w:val="restart"/>
          </w:tcPr>
          <w:p>
            <w:pPr>
              <w:ind w:left="660"/>
              <w:spacing w:after="0"/>
              <w:rPr>
                <w:sz w:val="20"/>
                <w:szCs w:val="20"/>
                <w:color w:val="auto"/>
              </w:rPr>
            </w:pPr>
            <w:r>
              <w:rPr>
                <w:rFonts w:ascii="Times New Roman" w:cs="Times New Roman" w:eastAsia="Times New Roman" w:hAnsi="Times New Roman"/>
                <w:sz w:val="14"/>
                <w:szCs w:val="14"/>
                <w:color w:val="auto"/>
              </w:rPr>
              <w:t>Net cash provided by (used in) operations</w:t>
            </w: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40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2,913</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2,745</w:t>
            </w:r>
          </w:p>
        </w:tc>
        <w:tc>
          <w:tcPr>
            <w:tcW w:w="0" w:type="dxa"/>
            <w:vAlign w:val="bottom"/>
          </w:tcPr>
          <w:p>
            <w:pPr>
              <w:spacing w:after="0"/>
              <w:rPr>
                <w:sz w:val="1"/>
                <w:szCs w:val="1"/>
                <w:color w:val="auto"/>
              </w:rPr>
            </w:pPr>
          </w:p>
        </w:tc>
      </w:tr>
      <w:tr>
        <w:trPr>
          <w:trHeight w:val="432"/>
        </w:trPr>
        <w:tc>
          <w:tcPr>
            <w:tcW w:w="8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Capital expenditures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0" w:type="dxa"/>
            <w:vAlign w:val="bottom"/>
          </w:tcPr>
          <w:p>
            <w:pPr>
              <w:spacing w:after="0"/>
              <w:rPr>
                <w:sz w:val="1"/>
                <w:szCs w:val="1"/>
                <w:color w:val="auto"/>
              </w:rPr>
            </w:pPr>
          </w:p>
        </w:tc>
      </w:tr>
      <w:tr>
        <w:trPr>
          <w:trHeight w:val="216"/>
        </w:trPr>
        <w:tc>
          <w:tcPr>
            <w:tcW w:w="8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Purchases of marketable securities and investments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0" w:type="dxa"/>
            <w:vAlign w:val="bottom"/>
          </w:tcPr>
          <w:p>
            <w:pPr>
              <w:spacing w:after="0"/>
              <w:rPr>
                <w:sz w:val="1"/>
                <w:szCs w:val="1"/>
                <w:color w:val="auto"/>
              </w:rPr>
            </w:pPr>
          </w:p>
        </w:tc>
      </w:tr>
      <w:tr>
        <w:trPr>
          <w:trHeight w:val="216"/>
        </w:trPr>
        <w:tc>
          <w:tcPr>
            <w:tcW w:w="8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sale of marketable securities and investments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0" w:type="dxa"/>
            <w:vAlign w:val="bottom"/>
          </w:tcPr>
          <w:p>
            <w:pPr>
              <w:spacing w:after="0"/>
              <w:rPr>
                <w:sz w:val="1"/>
                <w:szCs w:val="1"/>
                <w:color w:val="auto"/>
              </w:rPr>
            </w:pPr>
          </w:p>
        </w:tc>
      </w:tr>
      <w:tr>
        <w:trPr>
          <w:trHeight w:val="216"/>
        </w:trPr>
        <w:tc>
          <w:tcPr>
            <w:tcW w:w="8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Payment for acquisition, net of cash acquired</w:t>
            </w:r>
          </w:p>
        </w:tc>
        <w:tc>
          <w:tcPr>
            <w:tcW w:w="84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216"/>
        </w:trPr>
        <w:tc>
          <w:tcPr>
            <w:tcW w:w="8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3"/>
        </w:trPr>
        <w:tc>
          <w:tcPr>
            <w:tcW w:w="8400" w:type="dxa"/>
            <w:vAlign w:val="bottom"/>
            <w:vMerge w:val="restart"/>
          </w:tcPr>
          <w:p>
            <w:pPr>
              <w:ind w:left="66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40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0" w:type="dxa"/>
            <w:vAlign w:val="bottom"/>
          </w:tcPr>
          <w:p>
            <w:pPr>
              <w:spacing w:after="0"/>
              <w:rPr>
                <w:sz w:val="1"/>
                <w:szCs w:val="1"/>
                <w:color w:val="auto"/>
              </w:rPr>
            </w:pPr>
          </w:p>
        </w:tc>
      </w:tr>
      <w:tr>
        <w:trPr>
          <w:trHeight w:val="432"/>
        </w:trPr>
        <w:tc>
          <w:tcPr>
            <w:tcW w:w="8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Short-term borrowing (repayment) less than 90 days, net</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216"/>
        </w:trPr>
        <w:tc>
          <w:tcPr>
            <w:tcW w:w="8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Principal payments on debt</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0" w:type="dxa"/>
            <w:vAlign w:val="bottom"/>
          </w:tcPr>
          <w:p>
            <w:pPr>
              <w:spacing w:after="0"/>
              <w:rPr>
                <w:sz w:val="1"/>
                <w:szCs w:val="1"/>
                <w:color w:val="auto"/>
              </w:rPr>
            </w:pPr>
          </w:p>
        </w:tc>
      </w:tr>
      <w:tr>
        <w:trPr>
          <w:trHeight w:val="216"/>
        </w:trPr>
        <w:tc>
          <w:tcPr>
            <w:tcW w:w="8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issuance of debt</w:t>
            </w:r>
          </w:p>
        </w:tc>
        <w:tc>
          <w:tcPr>
            <w:tcW w:w="84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0" w:type="dxa"/>
            <w:vAlign w:val="bottom"/>
          </w:tcPr>
          <w:p>
            <w:pPr>
              <w:spacing w:after="0"/>
              <w:rPr>
                <w:sz w:val="1"/>
                <w:szCs w:val="1"/>
                <w:color w:val="auto"/>
              </w:rPr>
            </w:pPr>
          </w:p>
        </w:tc>
      </w:tr>
      <w:tr>
        <w:trPr>
          <w:trHeight w:val="216"/>
        </w:trPr>
        <w:tc>
          <w:tcPr>
            <w:tcW w:w="8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Dividends paid</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0" w:type="dxa"/>
            <w:vAlign w:val="bottom"/>
          </w:tcPr>
          <w:p>
            <w:pPr>
              <w:spacing w:after="0"/>
              <w:rPr>
                <w:sz w:val="1"/>
                <w:szCs w:val="1"/>
                <w:color w:val="auto"/>
              </w:rPr>
            </w:pPr>
          </w:p>
        </w:tc>
      </w:tr>
      <w:tr>
        <w:trPr>
          <w:trHeight w:val="216"/>
        </w:trPr>
        <w:tc>
          <w:tcPr>
            <w:tcW w:w="8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Purchases of treasury shares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w:t>
            </w:r>
          </w:p>
        </w:tc>
        <w:tc>
          <w:tcPr>
            <w:tcW w:w="0" w:type="dxa"/>
            <w:vAlign w:val="bottom"/>
          </w:tcPr>
          <w:p>
            <w:pPr>
              <w:spacing w:after="0"/>
              <w:rPr>
                <w:sz w:val="1"/>
                <w:szCs w:val="1"/>
                <w:color w:val="auto"/>
              </w:rPr>
            </w:pPr>
          </w:p>
        </w:tc>
      </w:tr>
      <w:tr>
        <w:trPr>
          <w:trHeight w:val="216"/>
        </w:trPr>
        <w:tc>
          <w:tcPr>
            <w:tcW w:w="8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216"/>
        </w:trPr>
        <w:tc>
          <w:tcPr>
            <w:tcW w:w="8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23"/>
        </w:trPr>
        <w:tc>
          <w:tcPr>
            <w:tcW w:w="8400" w:type="dxa"/>
            <w:vAlign w:val="bottom"/>
            <w:vMerge w:val="restart"/>
          </w:tcPr>
          <w:p>
            <w:pPr>
              <w:ind w:left="66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40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(2,272)</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(1,895)</w:t>
            </w:r>
          </w:p>
        </w:tc>
        <w:tc>
          <w:tcPr>
            <w:tcW w:w="0" w:type="dxa"/>
            <w:vAlign w:val="bottom"/>
          </w:tcPr>
          <w:p>
            <w:pPr>
              <w:spacing w:after="0"/>
              <w:rPr>
                <w:sz w:val="1"/>
                <w:szCs w:val="1"/>
                <w:color w:val="auto"/>
              </w:rPr>
            </w:pPr>
          </w:p>
        </w:tc>
      </w:tr>
      <w:tr>
        <w:trPr>
          <w:trHeight w:val="432"/>
        </w:trPr>
        <w:tc>
          <w:tcPr>
            <w:tcW w:w="8400" w:type="dxa"/>
            <w:vAlign w:val="bottom"/>
          </w:tcPr>
          <w:p>
            <w:pPr>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8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3"/>
        </w:trPr>
        <w:tc>
          <w:tcPr>
            <w:tcW w:w="8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40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the period</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w:t>
            </w:r>
          </w:p>
        </w:tc>
        <w:tc>
          <w:tcPr>
            <w:tcW w:w="0" w:type="dxa"/>
            <w:vAlign w:val="bottom"/>
          </w:tcPr>
          <w:p>
            <w:pPr>
              <w:spacing w:after="0"/>
              <w:rPr>
                <w:sz w:val="1"/>
                <w:szCs w:val="1"/>
                <w:color w:val="auto"/>
              </w:rPr>
            </w:pPr>
          </w:p>
        </w:tc>
      </w:tr>
      <w:tr>
        <w:trPr>
          <w:trHeight w:val="23"/>
        </w:trPr>
        <w:tc>
          <w:tcPr>
            <w:tcW w:w="8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Cash and cash equivalents at end of the period</w:t>
            </w: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400" w:type="dxa"/>
            <w:vAlign w:val="bottom"/>
            <w:vMerge w:val="continue"/>
          </w:tcPr>
          <w:p>
            <w:pPr>
              <w:spacing w:after="0"/>
              <w:rPr>
                <w:sz w:val="15"/>
                <w:szCs w:val="15"/>
                <w:color w:val="auto"/>
              </w:rPr>
            </w:pPr>
          </w:p>
        </w:tc>
        <w:tc>
          <w:tcPr>
            <w:tcW w:w="84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1,527</w:t>
            </w:r>
          </w:p>
        </w:tc>
        <w:tc>
          <w:tcPr>
            <w:tcW w:w="180" w:type="dxa"/>
            <w:vAlign w:val="bottom"/>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1,279</w:t>
            </w: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5"/>
        </w:trPr>
        <w:tc>
          <w:tcPr>
            <w:tcW w:w="84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4"/>
                <w:szCs w:val="14"/>
                <w:color w:val="auto"/>
              </w:rPr>
              <w:t>Free cash flow before dividends (Net cash provided by operations less Capital expenditures)</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cash provided by operations</w:t>
            </w:r>
          </w:p>
        </w:tc>
        <w:tc>
          <w:tcPr>
            <w:tcW w:w="84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2,913</w:t>
            </w:r>
          </w:p>
        </w:tc>
        <w:tc>
          <w:tcPr>
            <w:tcW w:w="180" w:type="dxa"/>
            <w:vAlign w:val="bottom"/>
          </w:tcPr>
          <w:p>
            <w:pPr>
              <w:spacing w:after="0"/>
              <w:rPr>
                <w:sz w:val="18"/>
                <w:szCs w:val="18"/>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2,745</w:t>
            </w:r>
          </w:p>
        </w:tc>
        <w:tc>
          <w:tcPr>
            <w:tcW w:w="0" w:type="dxa"/>
            <w:vAlign w:val="bottom"/>
          </w:tcPr>
          <w:p>
            <w:pPr>
              <w:spacing w:after="0"/>
              <w:rPr>
                <w:sz w:val="1"/>
                <w:szCs w:val="1"/>
                <w:color w:val="auto"/>
              </w:rPr>
            </w:pPr>
          </w:p>
        </w:tc>
      </w:tr>
      <w:tr>
        <w:trPr>
          <w:trHeight w:val="216"/>
        </w:trPr>
        <w:tc>
          <w:tcPr>
            <w:tcW w:w="8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Less: Capital expenditures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0" w:type="dxa"/>
            <w:vAlign w:val="bottom"/>
          </w:tcPr>
          <w:p>
            <w:pPr>
              <w:spacing w:after="0"/>
              <w:rPr>
                <w:sz w:val="1"/>
                <w:szCs w:val="1"/>
                <w:color w:val="auto"/>
              </w:rPr>
            </w:pPr>
          </w:p>
        </w:tc>
      </w:tr>
      <w:tr>
        <w:trPr>
          <w:trHeight w:val="24"/>
        </w:trPr>
        <w:tc>
          <w:tcPr>
            <w:tcW w:w="8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Free cash flow before dividends</w:t>
            </w: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400" w:type="dxa"/>
            <w:vAlign w:val="bottom"/>
            <w:vMerge w:val="continue"/>
          </w:tcPr>
          <w:p>
            <w:pPr>
              <w:spacing w:after="0"/>
              <w:rPr>
                <w:sz w:val="16"/>
                <w:szCs w:val="16"/>
                <w:color w:val="auto"/>
              </w:rPr>
            </w:pPr>
          </w:p>
        </w:tc>
        <w:tc>
          <w:tcPr>
            <w:tcW w:w="84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2,513</w:t>
            </w:r>
          </w:p>
        </w:tc>
        <w:tc>
          <w:tcPr>
            <w:tcW w:w="18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2,358</w:t>
            </w:r>
          </w:p>
        </w:tc>
        <w:tc>
          <w:tcPr>
            <w:tcW w:w="0" w:type="dxa"/>
            <w:vAlign w:val="bottom"/>
          </w:tcPr>
          <w:p>
            <w:pPr>
              <w:spacing w:after="0"/>
              <w:rPr>
                <w:sz w:val="1"/>
                <w:szCs w:val="1"/>
                <w:color w:val="auto"/>
              </w:rPr>
            </w:pPr>
          </w:p>
        </w:tc>
      </w:tr>
      <w:tr>
        <w:trPr>
          <w:trHeight w:val="24"/>
        </w:trPr>
        <w:tc>
          <w:tcPr>
            <w:tcW w:w="84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1"/>
        </w:trPr>
        <w:tc>
          <w:tcPr>
            <w:tcW w:w="8400" w:type="dxa"/>
            <w:vAlign w:val="bottom"/>
          </w:tcPr>
          <w:p>
            <w:pPr>
              <w:spacing w:after="0"/>
              <w:rPr>
                <w:sz w:val="20"/>
                <w:szCs w:val="20"/>
                <w:color w:val="auto"/>
              </w:rPr>
            </w:pPr>
            <w:r>
              <w:rPr>
                <w:rFonts w:ascii="Times New Roman" w:cs="Times New Roman" w:eastAsia="Times New Roman" w:hAnsi="Times New Roman"/>
                <w:sz w:val="14"/>
                <w:szCs w:val="14"/>
                <w:color w:val="auto"/>
              </w:rPr>
              <w:t>Income taxes paid</w:t>
            </w:r>
          </w:p>
        </w:tc>
        <w:tc>
          <w:tcPr>
            <w:tcW w:w="84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180" w:type="dxa"/>
            <w:vAlign w:val="bottom"/>
          </w:tcPr>
          <w:p>
            <w:pPr>
              <w:spacing w:after="0"/>
              <w:rPr>
                <w:sz w:val="24"/>
                <w:szCs w:val="24"/>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4"/>
                <w:szCs w:val="14"/>
                <w:color w:val="auto"/>
              </w:rPr>
              <w:t>Interest paid</w:t>
            </w:r>
          </w:p>
        </w:tc>
        <w:tc>
          <w:tcPr>
            <w:tcW w:w="84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80" w:type="dxa"/>
            <w:vAlign w:val="bottom"/>
          </w:tcPr>
          <w:p>
            <w:pPr>
              <w:spacing w:after="0"/>
              <w:rPr>
                <w:sz w:val="18"/>
                <w:szCs w:val="18"/>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bl>
    <w:p>
      <w:pPr>
        <w:sectPr>
          <w:pgSz w:w="11900" w:h="16838" w:orient="portrait"/>
          <w:cols w:equalWidth="0" w:num="1">
            <w:col w:w="11220"/>
          </w:cols>
          <w:pgMar w:left="340" w:top="938" w:right="339" w:bottom="1440" w:gutter="0" w:footer="0" w:header="0"/>
        </w:sectPr>
      </w:pPr>
    </w:p>
    <w:bookmarkStart w:id="13" w:name="page14"/>
    <w:bookmarkEnd w:id="13"/>
    <w:p>
      <w:pPr>
        <w:ind w:left="10780"/>
        <w:spacing w:after="0"/>
        <w:rPr>
          <w:sz w:val="20"/>
          <w:szCs w:val="20"/>
          <w:color w:val="auto"/>
        </w:rPr>
      </w:pPr>
      <w:r>
        <w:rPr>
          <w:rFonts w:ascii="Times New Roman" w:cs="Times New Roman" w:eastAsia="Times New Roman" w:hAnsi="Times New Roman"/>
          <w:sz w:val="14"/>
          <w:szCs w:val="14"/>
          <w:b w:val="1"/>
          <w:bCs w:val="1"/>
          <w:color w:val="auto"/>
        </w:rPr>
        <w:t>Table 5</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Segment Information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and Nine Months Ended September 30, 2026 and 2025</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40" w:type="dxa"/>
            <w:vAlign w:val="bottom"/>
          </w:tcPr>
          <w:p>
            <w:pPr>
              <w:spacing w:after="0"/>
              <w:rPr>
                <w:sz w:val="16"/>
                <w:szCs w:val="16"/>
                <w:color w:val="auto"/>
              </w:rPr>
            </w:pPr>
          </w:p>
        </w:tc>
        <w:tc>
          <w:tcPr>
            <w:tcW w:w="3140" w:type="dxa"/>
            <w:vAlign w:val="bottom"/>
            <w:gridSpan w:val="4"/>
          </w:tcPr>
          <w:p>
            <w:pPr>
              <w:jc w:val="right"/>
              <w:ind w:right="188"/>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80" w:type="dxa"/>
            <w:vAlign w:val="bottom"/>
            <w:gridSpan w:val="4"/>
          </w:tcPr>
          <w:p>
            <w:pPr>
              <w:jc w:val="right"/>
              <w:ind w:right="768"/>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2026</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2025</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rPr>
              <w:t>2026</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3"/>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364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Oral, Personal and Home Care</w:t>
            </w: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0"/>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North America</w:t>
            </w:r>
            <w:r>
              <w:rPr>
                <w:rFonts w:ascii="Times New Roman" w:cs="Times New Roman" w:eastAsia="Times New Roman" w:hAnsi="Times New Roman"/>
                <w:sz w:val="18"/>
                <w:szCs w:val="18"/>
                <w:color w:val="auto"/>
                <w:vertAlign w:val="superscript"/>
              </w:rPr>
              <w:t>(1)</w:t>
            </w:r>
          </w:p>
        </w:tc>
        <w:tc>
          <w:tcPr>
            <w:tcW w:w="1220" w:type="dxa"/>
            <w:vAlign w:val="bottom"/>
          </w:tcPr>
          <w:p>
            <w:pPr>
              <w:jc w:val="right"/>
              <w:ind w:right="10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140" w:type="dxa"/>
            <w:vAlign w:val="bottom"/>
          </w:tcPr>
          <w:p>
            <w:pPr>
              <w:spacing w:after="0"/>
              <w:rPr>
                <w:sz w:val="24"/>
                <w:szCs w:val="24"/>
                <w:color w:val="auto"/>
              </w:rPr>
            </w:pPr>
          </w:p>
        </w:tc>
        <w:tc>
          <w:tcPr>
            <w:tcW w:w="1220" w:type="dxa"/>
            <w:vAlign w:val="bottom"/>
          </w:tcPr>
          <w:p>
            <w:pPr>
              <w:jc w:val="right"/>
              <w:ind w:right="10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w:t>
            </w:r>
          </w:p>
        </w:tc>
        <w:tc>
          <w:tcPr>
            <w:tcW w:w="200" w:type="dxa"/>
            <w:vAlign w:val="bottom"/>
          </w:tcPr>
          <w:p>
            <w:pPr>
              <w:spacing w:after="0"/>
              <w:rPr>
                <w:sz w:val="24"/>
                <w:szCs w:val="24"/>
                <w:color w:val="auto"/>
              </w:rPr>
            </w:pPr>
          </w:p>
        </w:tc>
        <w:tc>
          <w:tcPr>
            <w:tcW w:w="4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2,684</w:t>
            </w:r>
          </w:p>
        </w:tc>
        <w:tc>
          <w:tcPr>
            <w:tcW w:w="140" w:type="dxa"/>
            <w:vAlign w:val="bottom"/>
          </w:tcPr>
          <w:p>
            <w:pPr>
              <w:spacing w:after="0"/>
              <w:rPr>
                <w:sz w:val="24"/>
                <w:szCs w:val="24"/>
                <w:color w:val="auto"/>
              </w:rPr>
            </w:pPr>
          </w:p>
        </w:tc>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2,745</w:t>
            </w:r>
          </w:p>
        </w:tc>
        <w:tc>
          <w:tcPr>
            <w:tcW w:w="0" w:type="dxa"/>
            <w:vAlign w:val="bottom"/>
          </w:tcPr>
          <w:p>
            <w:pPr>
              <w:spacing w:after="0"/>
              <w:rPr>
                <w:sz w:val="1"/>
                <w:szCs w:val="1"/>
                <w:color w:val="auto"/>
              </w:rPr>
            </w:pPr>
          </w:p>
        </w:tc>
      </w:tr>
      <w:tr>
        <w:trPr>
          <w:trHeight w:val="188"/>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Latin America</w:t>
            </w:r>
          </w:p>
        </w:tc>
        <w:tc>
          <w:tcPr>
            <w:tcW w:w="1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1,326</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4,011</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3,528</w:t>
            </w:r>
          </w:p>
        </w:tc>
        <w:tc>
          <w:tcPr>
            <w:tcW w:w="0" w:type="dxa"/>
            <w:vAlign w:val="bottom"/>
          </w:tcPr>
          <w:p>
            <w:pPr>
              <w:spacing w:after="0"/>
              <w:rPr>
                <w:sz w:val="1"/>
                <w:szCs w:val="1"/>
                <w:color w:val="auto"/>
              </w:rPr>
            </w:pPr>
          </w:p>
        </w:tc>
      </w:tr>
      <w:tr>
        <w:trPr>
          <w:trHeight w:val="241"/>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 Middle East &amp; Africa</w:t>
            </w:r>
            <w:r>
              <w:rPr>
                <w:rFonts w:ascii="Times New Roman" w:cs="Times New Roman" w:eastAsia="Times New Roman" w:hAnsi="Times New Roman"/>
                <w:sz w:val="18"/>
                <w:szCs w:val="18"/>
                <w:color w:val="auto"/>
                <w:vertAlign w:val="superscript"/>
              </w:rPr>
              <w:t>(1)</w:t>
            </w:r>
          </w:p>
        </w:tc>
        <w:tc>
          <w:tcPr>
            <w:tcW w:w="1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3,377</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3,204</w:t>
            </w:r>
          </w:p>
        </w:tc>
        <w:tc>
          <w:tcPr>
            <w:tcW w:w="0" w:type="dxa"/>
            <w:vAlign w:val="bottom"/>
          </w:tcPr>
          <w:p>
            <w:pPr>
              <w:spacing w:after="0"/>
              <w:rPr>
                <w:sz w:val="1"/>
                <w:szCs w:val="1"/>
                <w:color w:val="auto"/>
              </w:rPr>
            </w:pPr>
          </w:p>
        </w:tc>
      </w:tr>
      <w:tr>
        <w:trPr>
          <w:trHeight w:val="215"/>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Asia Pacific</w:t>
            </w:r>
            <w:r>
              <w:rPr>
                <w:rFonts w:ascii="Times New Roman" w:cs="Times New Roman" w:eastAsia="Times New Roman" w:hAnsi="Times New Roman"/>
                <w:sz w:val="18"/>
                <w:szCs w:val="18"/>
                <w:color w:val="auto"/>
                <w:vertAlign w:val="superscript"/>
              </w:rPr>
              <w:t>(1)</w:t>
            </w:r>
          </w:p>
        </w:tc>
        <w:tc>
          <w:tcPr>
            <w:tcW w:w="1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14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2,388</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2,259</w:t>
            </w:r>
          </w:p>
        </w:tc>
        <w:tc>
          <w:tcPr>
            <w:tcW w:w="0" w:type="dxa"/>
            <w:vAlign w:val="bottom"/>
          </w:tcPr>
          <w:p>
            <w:pPr>
              <w:spacing w:after="0"/>
              <w:rPr>
                <w:sz w:val="1"/>
                <w:szCs w:val="1"/>
                <w:color w:val="auto"/>
              </w:rPr>
            </w:pPr>
          </w:p>
        </w:tc>
      </w:tr>
      <w:tr>
        <w:trPr>
          <w:trHeight w:val="388"/>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Oral, Personal and Home Care</w:t>
            </w:r>
          </w:p>
        </w:tc>
        <w:tc>
          <w:tcPr>
            <w:tcW w:w="1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4,164</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3,989</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12,461</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11,735</w:t>
            </w:r>
          </w:p>
        </w:tc>
        <w:tc>
          <w:tcPr>
            <w:tcW w:w="0" w:type="dxa"/>
            <w:vAlign w:val="bottom"/>
          </w:tcPr>
          <w:p>
            <w:pPr>
              <w:spacing w:after="0"/>
              <w:rPr>
                <w:sz w:val="1"/>
                <w:szCs w:val="1"/>
                <w:color w:val="auto"/>
              </w:rPr>
            </w:pPr>
          </w:p>
        </w:tc>
      </w:tr>
      <w:tr>
        <w:trPr>
          <w:trHeight w:val="432"/>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Hill's Pet Nutrition</w:t>
            </w:r>
          </w:p>
        </w:tc>
        <w:tc>
          <w:tcPr>
            <w:tcW w:w="1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3,594</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3,417</w:t>
            </w:r>
          </w:p>
        </w:tc>
        <w:tc>
          <w:tcPr>
            <w:tcW w:w="0" w:type="dxa"/>
            <w:vAlign w:val="bottom"/>
          </w:tcPr>
          <w:p>
            <w:pPr>
              <w:spacing w:after="0"/>
              <w:rPr>
                <w:sz w:val="1"/>
                <w:szCs w:val="1"/>
                <w:color w:val="auto"/>
              </w:rPr>
            </w:pPr>
          </w:p>
        </w:tc>
      </w:tr>
      <w:tr>
        <w:trPr>
          <w:trHeight w:val="23"/>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Sales</w:t>
            </w:r>
          </w:p>
        </w:tc>
        <w:tc>
          <w:tcPr>
            <w:tcW w:w="1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9"/>
        </w:trPr>
        <w:tc>
          <w:tcPr>
            <w:tcW w:w="3640" w:type="dxa"/>
            <w:vAlign w:val="bottom"/>
            <w:vMerge w:val="continue"/>
          </w:tcPr>
          <w:p>
            <w:pPr>
              <w:spacing w:after="0"/>
              <w:rPr>
                <w:sz w:val="24"/>
                <w:szCs w:val="24"/>
                <w:color w:val="auto"/>
              </w:rPr>
            </w:pPr>
          </w:p>
        </w:tc>
        <w:tc>
          <w:tcPr>
            <w:tcW w:w="1220" w:type="dxa"/>
            <w:vAlign w:val="bottom"/>
          </w:tcPr>
          <w:p>
            <w:pPr>
              <w:jc w:val="right"/>
              <w:ind w:right="10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5,369</w:t>
            </w:r>
          </w:p>
        </w:tc>
        <w:tc>
          <w:tcPr>
            <w:tcW w:w="140" w:type="dxa"/>
            <w:vAlign w:val="bottom"/>
          </w:tcPr>
          <w:p>
            <w:pPr>
              <w:spacing w:after="0"/>
              <w:rPr>
                <w:sz w:val="24"/>
                <w:szCs w:val="24"/>
                <w:color w:val="auto"/>
              </w:rPr>
            </w:pPr>
          </w:p>
        </w:tc>
        <w:tc>
          <w:tcPr>
            <w:tcW w:w="1220" w:type="dxa"/>
            <w:vAlign w:val="bottom"/>
          </w:tcPr>
          <w:p>
            <w:pPr>
              <w:jc w:val="right"/>
              <w:ind w:right="10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5,131</w:t>
            </w:r>
          </w:p>
        </w:tc>
        <w:tc>
          <w:tcPr>
            <w:tcW w:w="200" w:type="dxa"/>
            <w:vAlign w:val="bottom"/>
          </w:tcPr>
          <w:p>
            <w:pPr>
              <w:spacing w:after="0"/>
              <w:rPr>
                <w:sz w:val="24"/>
                <w:szCs w:val="24"/>
                <w:color w:val="auto"/>
              </w:rPr>
            </w:pPr>
          </w:p>
        </w:tc>
        <w:tc>
          <w:tcPr>
            <w:tcW w:w="4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16,055</w:t>
            </w:r>
          </w:p>
        </w:tc>
        <w:tc>
          <w:tcPr>
            <w:tcW w:w="140" w:type="dxa"/>
            <w:vAlign w:val="bottom"/>
          </w:tcPr>
          <w:p>
            <w:pPr>
              <w:spacing w:after="0"/>
              <w:rPr>
                <w:sz w:val="24"/>
                <w:szCs w:val="24"/>
                <w:color w:val="auto"/>
              </w:rPr>
            </w:pPr>
          </w:p>
        </w:tc>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15,152</w:t>
            </w:r>
          </w:p>
        </w:tc>
        <w:tc>
          <w:tcPr>
            <w:tcW w:w="0" w:type="dxa"/>
            <w:vAlign w:val="bottom"/>
          </w:tcPr>
          <w:p>
            <w:pPr>
              <w:spacing w:after="0"/>
              <w:rPr>
                <w:sz w:val="1"/>
                <w:szCs w:val="1"/>
                <w:color w:val="auto"/>
              </w:rPr>
            </w:pPr>
          </w:p>
        </w:tc>
      </w:tr>
      <w:tr>
        <w:trPr>
          <w:trHeight w:val="23"/>
        </w:trPr>
        <w:tc>
          <w:tcPr>
            <w:tcW w:w="3640" w:type="dxa"/>
            <w:vAlign w:val="bottom"/>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1"/>
        </w:trPr>
        <w:tc>
          <w:tcPr>
            <w:tcW w:w="3640" w:type="dxa"/>
            <w:vAlign w:val="bottom"/>
          </w:tcPr>
          <w:p>
            <w:pPr>
              <w:spacing w:after="0"/>
              <w:rPr>
                <w:sz w:val="24"/>
                <w:szCs w:val="24"/>
                <w:color w:val="auto"/>
              </w:rPr>
            </w:pPr>
          </w:p>
        </w:tc>
        <w:tc>
          <w:tcPr>
            <w:tcW w:w="3140" w:type="dxa"/>
            <w:vAlign w:val="bottom"/>
            <w:gridSpan w:val="4"/>
          </w:tcPr>
          <w:p>
            <w:pPr>
              <w:jc w:val="right"/>
              <w:ind w:right="188"/>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80" w:type="dxa"/>
            <w:vAlign w:val="bottom"/>
            <w:gridSpan w:val="4"/>
          </w:tcPr>
          <w:p>
            <w:pPr>
              <w:jc w:val="right"/>
              <w:ind w:right="768"/>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2026</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2025</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rPr>
              <w:t>2026</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3"/>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1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364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Oral, Personal and Home Care</w:t>
            </w: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0"/>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North America</w:t>
            </w:r>
            <w:r>
              <w:rPr>
                <w:rFonts w:ascii="Times New Roman" w:cs="Times New Roman" w:eastAsia="Times New Roman" w:hAnsi="Times New Roman"/>
                <w:sz w:val="18"/>
                <w:szCs w:val="18"/>
                <w:color w:val="auto"/>
                <w:vertAlign w:val="superscript"/>
              </w:rPr>
              <w:t>(1)</w:t>
            </w:r>
          </w:p>
        </w:tc>
        <w:tc>
          <w:tcPr>
            <w:tcW w:w="1220" w:type="dxa"/>
            <w:vAlign w:val="bottom"/>
          </w:tcPr>
          <w:p>
            <w:pPr>
              <w:jc w:val="right"/>
              <w:ind w:right="10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40" w:type="dxa"/>
            <w:vAlign w:val="bottom"/>
          </w:tcPr>
          <w:p>
            <w:pPr>
              <w:spacing w:after="0"/>
              <w:rPr>
                <w:sz w:val="24"/>
                <w:szCs w:val="24"/>
                <w:color w:val="auto"/>
              </w:rPr>
            </w:pPr>
          </w:p>
        </w:tc>
        <w:tc>
          <w:tcPr>
            <w:tcW w:w="1220" w:type="dxa"/>
            <w:vAlign w:val="bottom"/>
          </w:tcPr>
          <w:p>
            <w:pPr>
              <w:jc w:val="right"/>
              <w:ind w:right="10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200" w:type="dxa"/>
            <w:vAlign w:val="bottom"/>
          </w:tcPr>
          <w:p>
            <w:pPr>
              <w:spacing w:after="0"/>
              <w:rPr>
                <w:sz w:val="24"/>
                <w:szCs w:val="24"/>
                <w:color w:val="auto"/>
              </w:rPr>
            </w:pPr>
          </w:p>
        </w:tc>
        <w:tc>
          <w:tcPr>
            <w:tcW w:w="4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140" w:type="dxa"/>
            <w:vAlign w:val="bottom"/>
          </w:tcPr>
          <w:p>
            <w:pPr>
              <w:spacing w:after="0"/>
              <w:rPr>
                <w:sz w:val="24"/>
                <w:szCs w:val="24"/>
                <w:color w:val="auto"/>
              </w:rPr>
            </w:pPr>
          </w:p>
        </w:tc>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0" w:type="dxa"/>
            <w:vAlign w:val="bottom"/>
          </w:tcPr>
          <w:p>
            <w:pPr>
              <w:spacing w:after="0"/>
              <w:rPr>
                <w:sz w:val="1"/>
                <w:szCs w:val="1"/>
                <w:color w:val="auto"/>
              </w:rPr>
            </w:pPr>
          </w:p>
        </w:tc>
      </w:tr>
      <w:tr>
        <w:trPr>
          <w:trHeight w:val="188"/>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Latin America</w:t>
            </w:r>
          </w:p>
        </w:tc>
        <w:tc>
          <w:tcPr>
            <w:tcW w:w="1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w:t>
            </w:r>
          </w:p>
        </w:tc>
        <w:tc>
          <w:tcPr>
            <w:tcW w:w="0" w:type="dxa"/>
            <w:vAlign w:val="bottom"/>
          </w:tcPr>
          <w:p>
            <w:pPr>
              <w:spacing w:after="0"/>
              <w:rPr>
                <w:sz w:val="1"/>
                <w:szCs w:val="1"/>
                <w:color w:val="auto"/>
              </w:rPr>
            </w:pPr>
          </w:p>
        </w:tc>
      </w:tr>
      <w:tr>
        <w:trPr>
          <w:trHeight w:val="241"/>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 Middle East &amp; Africa</w:t>
            </w:r>
            <w:r>
              <w:rPr>
                <w:rFonts w:ascii="Times New Roman" w:cs="Times New Roman" w:eastAsia="Times New Roman" w:hAnsi="Times New Roman"/>
                <w:sz w:val="18"/>
                <w:szCs w:val="18"/>
                <w:color w:val="auto"/>
                <w:vertAlign w:val="superscript"/>
              </w:rPr>
              <w:t>(1)</w:t>
            </w:r>
          </w:p>
        </w:tc>
        <w:tc>
          <w:tcPr>
            <w:tcW w:w="1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0" w:type="dxa"/>
            <w:vAlign w:val="bottom"/>
          </w:tcPr>
          <w:p>
            <w:pPr>
              <w:spacing w:after="0"/>
              <w:rPr>
                <w:sz w:val="1"/>
                <w:szCs w:val="1"/>
                <w:color w:val="auto"/>
              </w:rPr>
            </w:pPr>
          </w:p>
        </w:tc>
      </w:tr>
      <w:tr>
        <w:trPr>
          <w:trHeight w:val="215"/>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Asia Pacific</w:t>
            </w:r>
            <w:r>
              <w:rPr>
                <w:rFonts w:ascii="Times New Roman" w:cs="Times New Roman" w:eastAsia="Times New Roman" w:hAnsi="Times New Roman"/>
                <w:sz w:val="18"/>
                <w:szCs w:val="18"/>
                <w:color w:val="auto"/>
                <w:vertAlign w:val="superscript"/>
              </w:rPr>
              <w:t>(1)</w:t>
            </w:r>
          </w:p>
        </w:tc>
        <w:tc>
          <w:tcPr>
            <w:tcW w:w="1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4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0" w:type="dxa"/>
            <w:vAlign w:val="bottom"/>
          </w:tcPr>
          <w:p>
            <w:pPr>
              <w:spacing w:after="0"/>
              <w:rPr>
                <w:sz w:val="1"/>
                <w:szCs w:val="1"/>
                <w:color w:val="auto"/>
              </w:rPr>
            </w:pPr>
          </w:p>
        </w:tc>
      </w:tr>
      <w:tr>
        <w:trPr>
          <w:trHeight w:val="389"/>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Oral, Personal and Home Care</w:t>
            </w:r>
          </w:p>
        </w:tc>
        <w:tc>
          <w:tcPr>
            <w:tcW w:w="1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3,155</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2,961</w:t>
            </w:r>
          </w:p>
        </w:tc>
        <w:tc>
          <w:tcPr>
            <w:tcW w:w="0" w:type="dxa"/>
            <w:vAlign w:val="bottom"/>
          </w:tcPr>
          <w:p>
            <w:pPr>
              <w:spacing w:after="0"/>
              <w:rPr>
                <w:sz w:val="1"/>
                <w:szCs w:val="1"/>
                <w:color w:val="auto"/>
              </w:rPr>
            </w:pPr>
          </w:p>
        </w:tc>
      </w:tr>
      <w:tr>
        <w:trPr>
          <w:trHeight w:val="432"/>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Hill's Pet Nutrition</w:t>
            </w:r>
          </w:p>
        </w:tc>
        <w:tc>
          <w:tcPr>
            <w:tcW w:w="1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0" w:type="dxa"/>
            <w:vAlign w:val="bottom"/>
          </w:tcPr>
          <w:p>
            <w:pPr>
              <w:spacing w:after="0"/>
              <w:rPr>
                <w:sz w:val="1"/>
                <w:szCs w:val="1"/>
                <w:color w:val="auto"/>
              </w:rPr>
            </w:pPr>
          </w:p>
        </w:tc>
      </w:tr>
      <w:tr>
        <w:trPr>
          <w:trHeight w:val="239"/>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w:t>
            </w:r>
            <w:r>
              <w:rPr>
                <w:rFonts w:ascii="Times New Roman" w:cs="Times New Roman" w:eastAsia="Times New Roman" w:hAnsi="Times New Roman"/>
                <w:sz w:val="18"/>
                <w:szCs w:val="18"/>
                <w:color w:val="auto"/>
                <w:vertAlign w:val="superscript"/>
              </w:rPr>
              <w:t>(2)</w:t>
            </w:r>
          </w:p>
        </w:tc>
        <w:tc>
          <w:tcPr>
            <w:tcW w:w="1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4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2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0" w:type="dxa"/>
            <w:vAlign w:val="bottom"/>
          </w:tcPr>
          <w:p>
            <w:pPr>
              <w:spacing w:after="0"/>
              <w:rPr>
                <w:sz w:val="1"/>
                <w:szCs w:val="1"/>
                <w:color w:val="auto"/>
              </w:rPr>
            </w:pPr>
          </w:p>
        </w:tc>
      </w:tr>
      <w:tr>
        <w:trPr>
          <w:trHeight w:val="389"/>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Profit</w:t>
            </w:r>
          </w:p>
        </w:tc>
        <w:tc>
          <w:tcPr>
            <w:tcW w:w="1220" w:type="dxa"/>
            <w:vAlign w:val="bottom"/>
          </w:tcPr>
          <w:p>
            <w:pPr>
              <w:jc w:val="right"/>
              <w:ind w:right="10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1,088</w:t>
            </w:r>
          </w:p>
        </w:tc>
        <w:tc>
          <w:tcPr>
            <w:tcW w:w="140" w:type="dxa"/>
            <w:vAlign w:val="bottom"/>
          </w:tcPr>
          <w:p>
            <w:pPr>
              <w:spacing w:after="0"/>
              <w:rPr>
                <w:sz w:val="24"/>
                <w:szCs w:val="24"/>
                <w:color w:val="auto"/>
              </w:rPr>
            </w:pPr>
          </w:p>
        </w:tc>
        <w:tc>
          <w:tcPr>
            <w:tcW w:w="1220" w:type="dxa"/>
            <w:vAlign w:val="bottom"/>
          </w:tcPr>
          <w:p>
            <w:pPr>
              <w:jc w:val="right"/>
              <w:ind w:right="10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1,059</w:t>
            </w:r>
          </w:p>
        </w:tc>
        <w:tc>
          <w:tcPr>
            <w:tcW w:w="200" w:type="dxa"/>
            <w:vAlign w:val="bottom"/>
          </w:tcPr>
          <w:p>
            <w:pPr>
              <w:spacing w:after="0"/>
              <w:rPr>
                <w:sz w:val="24"/>
                <w:szCs w:val="24"/>
                <w:color w:val="auto"/>
              </w:rPr>
            </w:pPr>
          </w:p>
        </w:tc>
        <w:tc>
          <w:tcPr>
            <w:tcW w:w="4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3,069</w:t>
            </w:r>
          </w:p>
        </w:tc>
        <w:tc>
          <w:tcPr>
            <w:tcW w:w="140" w:type="dxa"/>
            <w:vAlign w:val="bottom"/>
          </w:tcPr>
          <w:p>
            <w:pPr>
              <w:spacing w:after="0"/>
              <w:rPr>
                <w:sz w:val="24"/>
                <w:szCs w:val="24"/>
                <w:color w:val="auto"/>
              </w:rPr>
            </w:pPr>
          </w:p>
        </w:tc>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3,214</w:t>
            </w:r>
          </w:p>
        </w:tc>
        <w:tc>
          <w:tcPr>
            <w:tcW w:w="0" w:type="dxa"/>
            <w:vAlign w:val="bottom"/>
          </w:tcPr>
          <w:p>
            <w:pPr>
              <w:spacing w:after="0"/>
              <w:rPr>
                <w:sz w:val="1"/>
                <w:szCs w:val="1"/>
                <w:color w:val="auto"/>
              </w:rPr>
            </w:pPr>
          </w:p>
        </w:tc>
      </w:tr>
      <w:tr>
        <w:trPr>
          <w:trHeight w:val="23"/>
        </w:trPr>
        <w:tc>
          <w:tcPr>
            <w:tcW w:w="3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Tables may not sum due to rounding.</w:t>
            </w:r>
          </w:p>
        </w:tc>
        <w:tc>
          <w:tcPr>
            <w:tcW w:w="1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40" w:type="dxa"/>
            <w:vAlign w:val="bottom"/>
            <w:vMerge w:val="continue"/>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4"/>
        </w:trPr>
        <w:tc>
          <w:tcPr>
            <w:tcW w:w="36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Notes:</w:t>
            </w: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220" w:hanging="212"/>
        <w:spacing w:after="0"/>
        <w:tabs>
          <w:tab w:leader="none" w:pos="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recast its historical geographic segment information to conform to the reporting structure effective for the quarter ended March 31, 2026.</w:t>
      </w:r>
    </w:p>
    <w:p>
      <w:pPr>
        <w:spacing w:after="0" w:line="284" w:lineRule="exact"/>
        <w:rPr>
          <w:rFonts w:ascii="Times New Roman" w:cs="Times New Roman" w:eastAsia="Times New Roman" w:hAnsi="Times New Roman"/>
          <w:sz w:val="14"/>
          <w:szCs w:val="14"/>
          <w:color w:val="auto"/>
        </w:rPr>
      </w:pPr>
    </w:p>
    <w:p>
      <w:pPr>
        <w:ind w:right="340" w:firstLine="8"/>
        <w:spacing w:after="0" w:line="302" w:lineRule="auto"/>
        <w:tabs>
          <w:tab w:leader="none" w:pos="204"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operations include costs related to stock options and restricted stock units, research and development costs, Corporate overhead costs, restructuring and related implementation charges and gains and losses on sales of non-core product lines and assets.</w:t>
      </w:r>
    </w:p>
    <w:p>
      <w:pPr>
        <w:spacing w:after="0" w:line="175" w:lineRule="exact"/>
        <w:rPr>
          <w:sz w:val="20"/>
          <w:szCs w:val="20"/>
          <w:color w:val="auto"/>
        </w:rPr>
      </w:pPr>
    </w:p>
    <w:p>
      <w:pPr>
        <w:ind w:right="420"/>
        <w:spacing w:after="0" w:line="302" w:lineRule="auto"/>
        <w:rPr>
          <w:sz w:val="20"/>
          <w:szCs w:val="20"/>
          <w:color w:val="auto"/>
        </w:rPr>
      </w:pPr>
      <w:r>
        <w:rPr>
          <w:rFonts w:ascii="Times New Roman" w:cs="Times New Roman" w:eastAsia="Times New Roman" w:hAnsi="Times New Roman"/>
          <w:sz w:val="14"/>
          <w:szCs w:val="14"/>
          <w:color w:val="auto"/>
        </w:rPr>
        <w:t>Corporate Operating profit (loss) for the three and nine months ended September 30, 2026 included charges resulting from the Strategic Growth and Productivity Program of $29 and $327, respectively.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Corporate Operating profit (loss) for the nine months ended September 30, 2025 included charges resulting from the ERISA litigation matter of $15 and acquisition-related costs of $9.</w:t>
      </w:r>
    </w:p>
    <w:p>
      <w:pPr>
        <w:sectPr>
          <w:pgSz w:w="11900" w:h="16838" w:orient="portrait"/>
          <w:cols w:equalWidth="0" w:num="1">
            <w:col w:w="11240"/>
          </w:cols>
          <w:pgMar w:left="320" w:top="938" w:right="339" w:bottom="1440" w:gutter="0" w:footer="0" w:header="0"/>
        </w:sectPr>
      </w:pPr>
    </w:p>
    <w:bookmarkStart w:id="14" w:name="page15"/>
    <w:bookmarkEnd w:id="14"/>
    <w:p>
      <w:pPr>
        <w:ind w:left="10780"/>
        <w:spacing w:after="0"/>
        <w:rPr>
          <w:sz w:val="20"/>
          <w:szCs w:val="20"/>
          <w:color w:val="auto"/>
        </w:rPr>
      </w:pPr>
      <w:r>
        <w:rPr>
          <w:rFonts w:ascii="Times New Roman" w:cs="Times New Roman" w:eastAsia="Times New Roman" w:hAnsi="Times New Roman"/>
          <w:sz w:val="14"/>
          <w:szCs w:val="14"/>
          <w:b w:val="1"/>
          <w:bCs w:val="1"/>
          <w:color w:val="auto"/>
        </w:rPr>
        <w:t>Table 6</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Geographic Sales Analysis Percentage Changes</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2026 vs. 2025</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4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580" w:type="dxa"/>
            <w:vAlign w:val="bottom"/>
            <w:gridSpan w:val="7"/>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COMPONENTS OF SALES CHANGE</w:t>
            </w:r>
          </w:p>
        </w:tc>
      </w:tr>
      <w:tr>
        <w:trPr>
          <w:trHeight w:val="23"/>
        </w:trPr>
        <w:tc>
          <w:tcPr>
            <w:tcW w:w="4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389"/>
        </w:trPr>
        <w:tc>
          <w:tcPr>
            <w:tcW w:w="4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Pricing</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16"/>
        </w:trPr>
        <w:tc>
          <w:tcPr>
            <w:tcW w:w="4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Coupons</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3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4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Consumer &amp;</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3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Organic</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Trade</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Foreign</w:t>
            </w:r>
          </w:p>
        </w:tc>
      </w:tr>
      <w:tr>
        <w:trPr>
          <w:trHeight w:val="185"/>
        </w:trPr>
        <w:tc>
          <w:tcPr>
            <w:tcW w:w="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Region</w:t>
            </w:r>
          </w:p>
        </w:tc>
        <w:tc>
          <w:tcPr>
            <w:tcW w:w="43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5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Sales Change</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w w:val="94"/>
              </w:rPr>
              <w:t>Volume</w:t>
            </w:r>
          </w:p>
        </w:tc>
        <w:tc>
          <w:tcPr>
            <w:tcW w:w="260" w:type="dxa"/>
            <w:vAlign w:val="bottom"/>
          </w:tcPr>
          <w:p>
            <w:pPr>
              <w:spacing w:after="0"/>
              <w:rPr>
                <w:sz w:val="16"/>
                <w:szCs w:val="16"/>
                <w:color w:val="auto"/>
              </w:rPr>
            </w:pPr>
          </w:p>
        </w:tc>
        <w:tc>
          <w:tcPr>
            <w:tcW w:w="138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Incentives</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9"/>
              </w:rPr>
              <w:t>Exchange</w:t>
            </w:r>
          </w:p>
        </w:tc>
      </w:tr>
      <w:tr>
        <w:trPr>
          <w:trHeight w:val="20"/>
        </w:trPr>
        <w:tc>
          <w:tcPr>
            <w:tcW w:w="44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43"/>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Company</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4.6 %</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3.6 %</w:t>
            </w:r>
          </w:p>
        </w:tc>
        <w:tc>
          <w:tcPr>
            <w:tcW w:w="15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1.7 %</w:t>
            </w:r>
          </w:p>
        </w:tc>
        <w:tc>
          <w:tcPr>
            <w:tcW w:w="164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2.0 %</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1.0 %</w:t>
            </w:r>
          </w:p>
        </w:tc>
      </w:tr>
      <w:tr>
        <w:trPr>
          <w:trHeight w:val="487"/>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North America</w:t>
            </w:r>
            <w:r>
              <w:rPr>
                <w:rFonts w:ascii="Times New Roman" w:cs="Times New Roman" w:eastAsia="Times New Roman" w:hAnsi="Times New Roman"/>
                <w:sz w:val="18"/>
                <w:szCs w:val="18"/>
                <w:b w:val="1"/>
                <w:bCs w:val="1"/>
                <w:color w:val="auto"/>
                <w:vertAlign w:val="superscript"/>
              </w:rPr>
              <w:t>(1)</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(1.7)%</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w:t>
            </w:r>
          </w:p>
        </w:tc>
        <w:tc>
          <w:tcPr>
            <w:tcW w:w="15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(3.7)%</w:t>
            </w:r>
          </w:p>
        </w:tc>
        <w:tc>
          <w:tcPr>
            <w:tcW w:w="164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2.2 %</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(0.2)%</w:t>
            </w:r>
          </w:p>
        </w:tc>
      </w:tr>
      <w:tr>
        <w:trPr>
          <w:trHeight w:val="377"/>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Latin America</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12.5 %</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6.0 %</w:t>
            </w:r>
          </w:p>
        </w:tc>
        <w:tc>
          <w:tcPr>
            <w:tcW w:w="15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3.9 %</w:t>
            </w:r>
          </w:p>
        </w:tc>
        <w:tc>
          <w:tcPr>
            <w:tcW w:w="164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2.1 %</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6.5 %</w:t>
            </w:r>
          </w:p>
        </w:tc>
      </w:tr>
      <w:tr>
        <w:trPr>
          <w:trHeight w:val="487"/>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Europe, Middle East &amp; Africa</w:t>
            </w:r>
            <w:r>
              <w:rPr>
                <w:rFonts w:ascii="Times New Roman" w:cs="Times New Roman" w:eastAsia="Times New Roman" w:hAnsi="Times New Roman"/>
                <w:sz w:val="18"/>
                <w:szCs w:val="18"/>
                <w:b w:val="1"/>
                <w:bCs w:val="1"/>
                <w:color w:val="auto"/>
                <w:vertAlign w:val="superscript"/>
              </w:rPr>
              <w:t>(1)</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1.4 %</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2.7 %</w:t>
            </w:r>
          </w:p>
        </w:tc>
        <w:tc>
          <w:tcPr>
            <w:tcW w:w="15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3.5 %</w:t>
            </w:r>
          </w:p>
        </w:tc>
        <w:tc>
          <w:tcPr>
            <w:tcW w:w="164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(0.9)%</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w:t>
            </w:r>
          </w:p>
        </w:tc>
      </w:tr>
      <w:tr>
        <w:trPr>
          <w:trHeight w:val="432"/>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Asia Pacific</w:t>
            </w:r>
            <w:r>
              <w:rPr>
                <w:rFonts w:ascii="Times New Roman" w:cs="Times New Roman" w:eastAsia="Times New Roman" w:hAnsi="Times New Roman"/>
                <w:sz w:val="18"/>
                <w:szCs w:val="18"/>
                <w:b w:val="1"/>
                <w:bCs w:val="1"/>
                <w:color w:val="auto"/>
                <w:vertAlign w:val="superscript"/>
              </w:rPr>
              <w:t>(1)</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3.5 %</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4.6 %</w:t>
            </w:r>
          </w:p>
        </w:tc>
        <w:tc>
          <w:tcPr>
            <w:tcW w:w="15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1.9 %</w:t>
            </w:r>
          </w:p>
        </w:tc>
        <w:tc>
          <w:tcPr>
            <w:tcW w:w="164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2.8 %</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w:t>
            </w:r>
          </w:p>
        </w:tc>
      </w:tr>
      <w:tr>
        <w:trPr>
          <w:trHeight w:val="377"/>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CP Products</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4.4 %</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3.1 %</w:t>
            </w:r>
          </w:p>
        </w:tc>
        <w:tc>
          <w:tcPr>
            <w:tcW w:w="15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1.6 %</w:t>
            </w:r>
          </w:p>
        </w:tc>
        <w:tc>
          <w:tcPr>
            <w:tcW w:w="164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1.4 %</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1.3 %</w:t>
            </w:r>
          </w:p>
        </w:tc>
      </w:tr>
      <w:tr>
        <w:trPr>
          <w:trHeight w:val="432"/>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Hill’s Pet Nutrition</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5.6 %</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5.7 %</w:t>
            </w:r>
          </w:p>
        </w:tc>
        <w:tc>
          <w:tcPr>
            <w:tcW w:w="15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1.8 %</w:t>
            </w:r>
          </w:p>
        </w:tc>
        <w:tc>
          <w:tcPr>
            <w:tcW w:w="164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3.9 %</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(0.1)%</w:t>
            </w:r>
          </w:p>
        </w:tc>
      </w:tr>
      <w:tr>
        <w:trPr>
          <w:trHeight w:val="703"/>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Emerging Markets</w:t>
            </w:r>
            <w:r>
              <w:rPr>
                <w:rFonts w:ascii="Times New Roman" w:cs="Times New Roman" w:eastAsia="Times New Roman" w:hAnsi="Times New Roman"/>
                <w:sz w:val="18"/>
                <w:szCs w:val="18"/>
                <w:b w:val="1"/>
                <w:bCs w:val="1"/>
                <w:color w:val="auto"/>
                <w:vertAlign w:val="superscript"/>
              </w:rPr>
              <w:t>(2)</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8.0 %</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5.4 %</w:t>
            </w:r>
          </w:p>
        </w:tc>
        <w:tc>
          <w:tcPr>
            <w:tcW w:w="15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3.7 %</w:t>
            </w:r>
          </w:p>
        </w:tc>
        <w:tc>
          <w:tcPr>
            <w:tcW w:w="164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1.7 %</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2.7 %</w:t>
            </w:r>
          </w:p>
        </w:tc>
      </w:tr>
      <w:tr>
        <w:trPr>
          <w:trHeight w:val="377"/>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Developed Markets</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2.0 %</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2.3 %</w:t>
            </w:r>
          </w:p>
        </w:tc>
        <w:tc>
          <w:tcPr>
            <w:tcW w:w="15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0.1 %</w:t>
            </w:r>
          </w:p>
        </w:tc>
        <w:tc>
          <w:tcPr>
            <w:tcW w:w="164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2.2 %</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(0.3)%</w:t>
            </w:r>
          </w:p>
        </w:tc>
      </w:tr>
    </w:tbl>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Table may not sum due to rounding.</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Notes:</w:t>
      </w:r>
    </w:p>
    <w:p>
      <w:pPr>
        <w:spacing w:after="0" w:line="27" w:lineRule="exact"/>
        <w:rPr>
          <w:sz w:val="20"/>
          <w:szCs w:val="20"/>
          <w:color w:val="auto"/>
        </w:rPr>
      </w:pPr>
    </w:p>
    <w:p>
      <w:pPr>
        <w:ind w:left="220" w:hanging="212"/>
        <w:spacing w:after="0"/>
        <w:tabs>
          <w:tab w:leader="none" w:pos="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recast its historical geographic segment information to conform to the reporting structure effective for the quarter ended March 31, 2026.</w:t>
      </w:r>
    </w:p>
    <w:p>
      <w:pPr>
        <w:spacing w:after="0" w:line="244"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Emerging Markets include Latin America, Asia (excluding Japan), Africa, the Middle East and Eastern and Central Europe.</w:t>
      </w:r>
    </w:p>
    <w:p>
      <w:pPr>
        <w:sectPr>
          <w:pgSz w:w="11900" w:h="16838" w:orient="portrait"/>
          <w:cols w:equalWidth="0" w:num="1">
            <w:col w:w="11240"/>
          </w:cols>
          <w:pgMar w:left="320" w:top="938" w:right="339" w:bottom="1440" w:gutter="0" w:footer="0" w:header="0"/>
        </w:sectPr>
      </w:pPr>
    </w:p>
    <w:bookmarkStart w:id="15" w:name="page16"/>
    <w:bookmarkEnd w:id="15"/>
    <w:p>
      <w:pPr>
        <w:ind w:left="10780"/>
        <w:spacing w:after="0"/>
        <w:rPr>
          <w:sz w:val="20"/>
          <w:szCs w:val="20"/>
          <w:color w:val="auto"/>
        </w:rPr>
      </w:pPr>
      <w:r>
        <w:rPr>
          <w:rFonts w:ascii="Times New Roman" w:cs="Times New Roman" w:eastAsia="Times New Roman" w:hAnsi="Times New Roman"/>
          <w:sz w:val="14"/>
          <w:szCs w:val="14"/>
          <w:b w:val="1"/>
          <w:bCs w:val="1"/>
          <w:color w:val="auto"/>
        </w:rPr>
        <w:t>Table 7</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Geographic Sales Analysis Percentage Changes</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2026 vs. 2025</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COMPONENTS OF SALES CHANGE</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9"/>
        </w:trPr>
        <w:tc>
          <w:tcPr>
            <w:tcW w:w="4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Pricing</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Coupons</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3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Consumer &amp;</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3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Organic</w:t>
            </w:r>
          </w:p>
        </w:tc>
        <w:tc>
          <w:tcPr>
            <w:tcW w:w="132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40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Organic</w:t>
            </w:r>
          </w:p>
        </w:tc>
        <w:tc>
          <w:tcPr>
            <w:tcW w:w="260" w:type="dxa"/>
            <w:vAlign w:val="bottom"/>
          </w:tcPr>
          <w:p>
            <w:pPr>
              <w:spacing w:after="0"/>
              <w:rPr>
                <w:sz w:val="18"/>
                <w:szCs w:val="18"/>
                <w:color w:val="auto"/>
              </w:rPr>
            </w:pPr>
          </w:p>
        </w:tc>
        <w:tc>
          <w:tcPr>
            <w:tcW w:w="11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Trade</w:t>
            </w:r>
          </w:p>
        </w:tc>
        <w:tc>
          <w:tcPr>
            <w:tcW w:w="22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0" w:type="dxa"/>
            <w:vAlign w:val="bottom"/>
          </w:tcPr>
          <w:p>
            <w:pPr>
              <w:spacing w:after="0"/>
              <w:rPr>
                <w:sz w:val="1"/>
                <w:szCs w:val="1"/>
                <w:color w:val="auto"/>
              </w:rPr>
            </w:pPr>
          </w:p>
        </w:tc>
      </w:tr>
      <w:tr>
        <w:trPr>
          <w:trHeight w:val="132"/>
        </w:trPr>
        <w:tc>
          <w:tcPr>
            <w:tcW w:w="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Region</w:t>
            </w:r>
          </w:p>
        </w:tc>
        <w:tc>
          <w:tcPr>
            <w:tcW w:w="3120" w:type="dxa"/>
            <w:vAlign w:val="bottom"/>
            <w:vMerge w:val="restart"/>
          </w:tcPr>
          <w:p>
            <w:pPr>
              <w:spacing w:after="0"/>
              <w:rPr>
                <w:sz w:val="11"/>
                <w:szCs w:val="11"/>
                <w:color w:val="auto"/>
              </w:rPr>
            </w:pPr>
          </w:p>
        </w:tc>
        <w:tc>
          <w:tcPr>
            <w:tcW w:w="130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1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7"/>
              </w:rPr>
              <w:t>Sales Change</w:t>
            </w:r>
          </w:p>
        </w:tc>
        <w:tc>
          <w:tcPr>
            <w:tcW w:w="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w w:val="94"/>
              </w:rPr>
              <w:t>Volume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400" w:type="dxa"/>
            <w:vAlign w:val="bottom"/>
            <w:vMerge w:val="restart"/>
          </w:tcPr>
          <w:p>
            <w:pPr>
              <w:spacing w:after="0"/>
              <w:rPr>
                <w:sz w:val="11"/>
                <w:szCs w:val="11"/>
                <w:color w:val="auto"/>
              </w:rPr>
            </w:pPr>
          </w:p>
        </w:tc>
        <w:tc>
          <w:tcPr>
            <w:tcW w:w="1400" w:type="dxa"/>
            <w:vAlign w:val="bottom"/>
            <w:gridSpan w:val="3"/>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14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Incentives</w:t>
            </w:r>
          </w:p>
        </w:tc>
        <w:tc>
          <w:tcPr>
            <w:tcW w:w="114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Exchange</w:t>
            </w:r>
          </w:p>
        </w:tc>
        <w:tc>
          <w:tcPr>
            <w:tcW w:w="0" w:type="dxa"/>
            <w:vAlign w:val="bottom"/>
          </w:tcPr>
          <w:p>
            <w:pPr>
              <w:spacing w:after="0"/>
              <w:rPr>
                <w:sz w:val="1"/>
                <w:szCs w:val="1"/>
                <w:color w:val="auto"/>
              </w:rPr>
            </w:pPr>
          </w:p>
        </w:tc>
      </w:tr>
      <w:tr>
        <w:trPr>
          <w:trHeight w:val="34"/>
        </w:trPr>
        <w:tc>
          <w:tcPr>
            <w:tcW w:w="440" w:type="dxa"/>
            <w:vAlign w:val="bottom"/>
            <w:vMerge w:val="continue"/>
          </w:tcPr>
          <w:p>
            <w:pPr>
              <w:spacing w:after="0"/>
              <w:rPr>
                <w:sz w:val="2"/>
                <w:szCs w:val="2"/>
                <w:color w:val="auto"/>
              </w:rPr>
            </w:pPr>
          </w:p>
        </w:tc>
        <w:tc>
          <w:tcPr>
            <w:tcW w:w="3120" w:type="dxa"/>
            <w:vAlign w:val="bottom"/>
            <w:vMerge w:val="continue"/>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vMerge w:val="continue"/>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Company</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6.0 %</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3.0 %</w:t>
            </w:r>
          </w:p>
        </w:tc>
        <w:tc>
          <w:tcPr>
            <w:tcW w:w="13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1.2 %</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1.0 %</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1.9 %</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2.8 %</w:t>
            </w:r>
          </w:p>
        </w:tc>
        <w:tc>
          <w:tcPr>
            <w:tcW w:w="0" w:type="dxa"/>
            <w:vAlign w:val="bottom"/>
          </w:tcPr>
          <w:p>
            <w:pPr>
              <w:spacing w:after="0"/>
              <w:rPr>
                <w:sz w:val="1"/>
                <w:szCs w:val="1"/>
                <w:color w:val="auto"/>
              </w:rPr>
            </w:pPr>
          </w:p>
        </w:tc>
      </w:tr>
      <w:tr>
        <w:trPr>
          <w:trHeight w:val="487"/>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North America</w:t>
            </w:r>
            <w:r>
              <w:rPr>
                <w:rFonts w:ascii="Times New Roman" w:cs="Times New Roman" w:eastAsia="Times New Roman" w:hAnsi="Times New Roman"/>
                <w:sz w:val="18"/>
                <w:szCs w:val="18"/>
                <w:b w:val="1"/>
                <w:bCs w:val="1"/>
                <w:color w:val="auto"/>
                <w:vertAlign w:val="superscript"/>
              </w:rPr>
              <w:t>(2)</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(2.2)%</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w:t>
            </w:r>
          </w:p>
        </w:tc>
        <w:tc>
          <w:tcPr>
            <w:tcW w:w="13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(3.6)%</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(3.6)%</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1.4 %</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377"/>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Latin America</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13.7 %</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5.6 %</w:t>
            </w:r>
          </w:p>
        </w:tc>
        <w:tc>
          <w:tcPr>
            <w:tcW w:w="13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2.8 %</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2.8 %</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2.7 %</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8.1 %</w:t>
            </w:r>
          </w:p>
        </w:tc>
        <w:tc>
          <w:tcPr>
            <w:tcW w:w="0" w:type="dxa"/>
            <w:vAlign w:val="bottom"/>
          </w:tcPr>
          <w:p>
            <w:pPr>
              <w:spacing w:after="0"/>
              <w:rPr>
                <w:sz w:val="1"/>
                <w:szCs w:val="1"/>
                <w:color w:val="auto"/>
              </w:rPr>
            </w:pPr>
          </w:p>
        </w:tc>
      </w:tr>
      <w:tr>
        <w:trPr>
          <w:trHeight w:val="487"/>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Europe, Middle East &amp; Africa</w:t>
            </w:r>
            <w:r>
              <w:rPr>
                <w:rFonts w:ascii="Times New Roman" w:cs="Times New Roman" w:eastAsia="Times New Roman" w:hAnsi="Times New Roman"/>
                <w:sz w:val="18"/>
                <w:szCs w:val="18"/>
                <w:b w:val="1"/>
                <w:bCs w:val="1"/>
                <w:color w:val="auto"/>
                <w:vertAlign w:val="superscript"/>
              </w:rPr>
              <w:t>(2)</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5.4 %</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2.7 %</w:t>
            </w:r>
          </w:p>
        </w:tc>
        <w:tc>
          <w:tcPr>
            <w:tcW w:w="13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3.0 %</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3.0 %</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(0.3)%</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2.8 %</w:t>
            </w:r>
          </w:p>
        </w:tc>
        <w:tc>
          <w:tcPr>
            <w:tcW w:w="0" w:type="dxa"/>
            <w:vAlign w:val="bottom"/>
          </w:tcPr>
          <w:p>
            <w:pPr>
              <w:spacing w:after="0"/>
              <w:rPr>
                <w:sz w:val="1"/>
                <w:szCs w:val="1"/>
                <w:color w:val="auto"/>
              </w:rPr>
            </w:pPr>
          </w:p>
        </w:tc>
      </w:tr>
      <w:tr>
        <w:trPr>
          <w:trHeight w:val="432"/>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Asia Pacific</w:t>
            </w:r>
            <w:r>
              <w:rPr>
                <w:rFonts w:ascii="Times New Roman" w:cs="Times New Roman" w:eastAsia="Times New Roman" w:hAnsi="Times New Roman"/>
                <w:sz w:val="18"/>
                <w:szCs w:val="18"/>
                <w:b w:val="1"/>
                <w:bCs w:val="1"/>
                <w:color w:val="auto"/>
                <w:vertAlign w:val="superscript"/>
              </w:rPr>
              <w:t>(2)</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5.7 %</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5.1 %</w:t>
            </w:r>
          </w:p>
        </w:tc>
        <w:tc>
          <w:tcPr>
            <w:tcW w:w="13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3.5 %</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3.5 %</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1.6 %</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0.6 %</w:t>
            </w:r>
          </w:p>
        </w:tc>
        <w:tc>
          <w:tcPr>
            <w:tcW w:w="0" w:type="dxa"/>
            <w:vAlign w:val="bottom"/>
          </w:tcPr>
          <w:p>
            <w:pPr>
              <w:spacing w:after="0"/>
              <w:rPr>
                <w:sz w:val="1"/>
                <w:szCs w:val="1"/>
                <w:color w:val="auto"/>
              </w:rPr>
            </w:pPr>
          </w:p>
        </w:tc>
      </w:tr>
      <w:tr>
        <w:trPr>
          <w:trHeight w:val="377"/>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CP Products</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6.2 %</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2.9 %</w:t>
            </w:r>
          </w:p>
        </w:tc>
        <w:tc>
          <w:tcPr>
            <w:tcW w:w="13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1.5 %</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1.5 %</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1.4 %</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3.3 %</w:t>
            </w:r>
          </w:p>
        </w:tc>
        <w:tc>
          <w:tcPr>
            <w:tcW w:w="0" w:type="dxa"/>
            <w:vAlign w:val="bottom"/>
          </w:tcPr>
          <w:p>
            <w:pPr>
              <w:spacing w:after="0"/>
              <w:rPr>
                <w:sz w:val="1"/>
                <w:szCs w:val="1"/>
                <w:color w:val="auto"/>
              </w:rPr>
            </w:pPr>
          </w:p>
        </w:tc>
      </w:tr>
      <w:tr>
        <w:trPr>
          <w:trHeight w:val="432"/>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Hill’s Pet Nutrition</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5.2 %</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3.3 %</w:t>
            </w:r>
          </w:p>
        </w:tc>
        <w:tc>
          <w:tcPr>
            <w:tcW w:w="13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0.3 %</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(0.6)%</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3.9 %</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r>
        <w:trPr>
          <w:trHeight w:val="703"/>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Emerging Markets</w:t>
            </w:r>
            <w:r>
              <w:rPr>
                <w:rFonts w:ascii="Times New Roman" w:cs="Times New Roman" w:eastAsia="Times New Roman" w:hAnsi="Times New Roman"/>
                <w:sz w:val="18"/>
                <w:szCs w:val="18"/>
                <w:b w:val="1"/>
                <w:bCs w:val="1"/>
                <w:color w:val="auto"/>
                <w:vertAlign w:val="superscript"/>
              </w:rPr>
              <w:t>(3)</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10.0 %</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5.4 %</w:t>
            </w:r>
          </w:p>
        </w:tc>
        <w:tc>
          <w:tcPr>
            <w:tcW w:w="13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3.3 %</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3.3 %</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2.1 %</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4.6 %</w:t>
            </w:r>
          </w:p>
        </w:tc>
        <w:tc>
          <w:tcPr>
            <w:tcW w:w="0" w:type="dxa"/>
            <w:vAlign w:val="bottom"/>
          </w:tcPr>
          <w:p>
            <w:pPr>
              <w:spacing w:after="0"/>
              <w:rPr>
                <w:sz w:val="1"/>
                <w:szCs w:val="1"/>
                <w:color w:val="auto"/>
              </w:rPr>
            </w:pPr>
          </w:p>
        </w:tc>
      </w:tr>
      <w:tr>
        <w:trPr>
          <w:trHeight w:val="377"/>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Developed Markets</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2.8 %</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1.0 %</w:t>
            </w:r>
          </w:p>
        </w:tc>
        <w:tc>
          <w:tcPr>
            <w:tcW w:w="13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(0.5)%</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(0.8)%</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1.8 %</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1.4 %</w:t>
            </w:r>
          </w:p>
        </w:tc>
        <w:tc>
          <w:tcPr>
            <w:tcW w:w="0" w:type="dxa"/>
            <w:vAlign w:val="bottom"/>
          </w:tcPr>
          <w:p>
            <w:pPr>
              <w:spacing w:after="0"/>
              <w:rPr>
                <w:sz w:val="1"/>
                <w:szCs w:val="1"/>
                <w:color w:val="auto"/>
              </w:rPr>
            </w:pPr>
          </w:p>
        </w:tc>
      </w:tr>
    </w:tbl>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Table may not sum due to rounding.</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Notes:</w:t>
      </w:r>
    </w:p>
    <w:p>
      <w:pPr>
        <w:spacing w:after="0" w:line="27" w:lineRule="exact"/>
        <w:rPr>
          <w:sz w:val="20"/>
          <w:szCs w:val="20"/>
          <w:color w:val="auto"/>
        </w:rPr>
      </w:pPr>
    </w:p>
    <w:p>
      <w:pPr>
        <w:ind w:right="760" w:firstLine="8"/>
        <w:spacing w:after="0" w:line="283" w:lineRule="auto"/>
        <w:tabs>
          <w:tab w:leader="none" w:pos="204"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the acquisition of the Prime100 pet food business on as reported volume was 0.2%, 0.8% and 0.3% for Total Company, Hill's Pet Nutrition and Developed Markets, respectively.</w:t>
      </w:r>
    </w:p>
    <w:p>
      <w:pPr>
        <w:spacing w:after="0" w:line="20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recast its historical geographic segment information to conform to the reporting structure effective for the quarter ended March 31, 2026.</w:t>
      </w:r>
    </w:p>
    <w:p>
      <w:pPr>
        <w:spacing w:after="0" w:line="257"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Emerging Markets include Latin America, Asia (excluding Japan), Africa, the Middle East and Eastern and Central Europe.</w:t>
      </w:r>
    </w:p>
    <w:p>
      <w:pPr>
        <w:sectPr>
          <w:pgSz w:w="11900" w:h="16838" w:orient="portrait"/>
          <w:cols w:equalWidth="0" w:num="1">
            <w:col w:w="11240"/>
          </w:cols>
          <w:pgMar w:left="320" w:top="938" w:right="339" w:bottom="1440" w:gutter="0" w:footer="0" w:header="0"/>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Gross Profit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Gross profit, GAAP</w:t>
      </w:r>
    </w:p>
    <w:p>
      <w:pPr>
        <w:spacing w:after="0" w:line="69" w:lineRule="exact"/>
        <w:rPr>
          <w:sz w:val="20"/>
          <w:szCs w:val="20"/>
          <w:color w:val="auto"/>
        </w:rPr>
      </w:pPr>
    </w:p>
    <w:p>
      <w:pPr>
        <w:ind w:right="480"/>
        <w:spacing w:after="0" w:line="362" w:lineRule="auto"/>
        <w:rPr>
          <w:sz w:val="20"/>
          <w:szCs w:val="20"/>
          <w:color w:val="auto"/>
        </w:rPr>
      </w:pPr>
      <w:r>
        <w:rPr>
          <w:rFonts w:ascii="Times New Roman" w:cs="Times New Roman" w:eastAsia="Times New Roman" w:hAnsi="Times New Roman"/>
          <w:sz w:val="14"/>
          <w:szCs w:val="14"/>
          <w:color w:val="auto"/>
        </w:rPr>
        <w:t>Strategic Growth and Productivity Program Gross profit, non-GAAP</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Table 8</w:t>
      </w:r>
    </w:p>
    <w:p>
      <w:pPr>
        <w:spacing w:after="0" w:line="5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204" w:lineRule="exact"/>
        <w:rPr>
          <w:sz w:val="20"/>
          <w:szCs w:val="20"/>
          <w:color w:val="auto"/>
        </w:rPr>
      </w:pPr>
    </w:p>
    <w:p>
      <w:pPr>
        <w:jc w:val="center"/>
        <w:ind w:right="3740"/>
        <w:spacing w:after="0"/>
        <w:rPr>
          <w:sz w:val="20"/>
          <w:szCs w:val="20"/>
          <w:color w:val="auto"/>
        </w:rPr>
      </w:pPr>
      <w:r>
        <w:rPr>
          <w:rFonts w:ascii="Times New Roman" w:cs="Times New Roman" w:eastAsia="Times New Roman" w:hAnsi="Times New Roman"/>
          <w:sz w:val="14"/>
          <w:szCs w:val="14"/>
          <w:b w:val="1"/>
          <w:bCs w:val="1"/>
          <w:color w:val="auto"/>
        </w:rPr>
        <w:t>Non-GAAP Reconciliations</w:t>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2026 and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Amounts) (Unaudited)</w:t>
      </w:r>
    </w:p>
    <w:p>
      <w:pPr>
        <w:spacing w:after="0" w:line="204" w:lineRule="exact"/>
        <w:rPr>
          <w:sz w:val="20"/>
          <w:szCs w:val="20"/>
          <w:color w:val="auto"/>
        </w:rPr>
      </w:pPr>
    </w:p>
    <w:tbl>
      <w:tblPr>
        <w:tblLayout w:type="fixed"/>
        <w:tblInd w:w="3780" w:type="dxa"/>
        <w:tblCellMar>
          <w:top w:w="0" w:type="dxa"/>
          <w:left w:w="0" w:type="dxa"/>
          <w:bottom w:w="0" w:type="dxa"/>
          <w:right w:w="0" w:type="dxa"/>
        </w:tblCellMar>
      </w:tblPr>
      <w:tr>
        <w:trPr>
          <w:trHeight w:val="190"/>
        </w:trPr>
        <w:tc>
          <w:tcPr>
            <w:tcW w:w="260" w:type="dxa"/>
            <w:vAlign w:val="bottom"/>
          </w:tcPr>
          <w:p>
            <w:pPr>
              <w:spacing w:after="0"/>
              <w:rPr>
                <w:sz w:val="16"/>
                <w:szCs w:val="16"/>
                <w:color w:val="auto"/>
              </w:rPr>
            </w:pPr>
          </w:p>
        </w:tc>
        <w:tc>
          <w:tcPr>
            <w:tcW w:w="8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3,233</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3,049</w:t>
            </w:r>
          </w:p>
        </w:tc>
      </w:tr>
      <w:tr>
        <w:trPr>
          <w:trHeight w:val="216"/>
        </w:trPr>
        <w:tc>
          <w:tcPr>
            <w:tcW w:w="260" w:type="dxa"/>
            <w:vAlign w:val="bottom"/>
          </w:tcPr>
          <w:p>
            <w:pPr>
              <w:spacing w:after="0"/>
              <w:rPr>
                <w:sz w:val="18"/>
                <w:szCs w:val="18"/>
                <w:color w:val="auto"/>
              </w:rPr>
            </w:pP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3,238</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3,049</w:t>
            </w:r>
          </w:p>
        </w:tc>
      </w:tr>
      <w:tr>
        <w:trPr>
          <w:trHeight w:val="23"/>
        </w:trPr>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sectPr>
          <w:pgSz w:w="11900" w:h="16838" w:orient="portrait"/>
          <w:cols w:equalWidth="0" w:num="2">
            <w:col w:w="3000" w:space="720"/>
            <w:col w:w="7440"/>
          </w:cols>
          <w:pgMar w:left="340" w:top="817" w:right="399" w:bottom="1440" w:gutter="0" w:footer="0" w:header="0"/>
        </w:sect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Gross Profit Margin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Gross profit margin, GAAP</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Strategic Growth and Productivity Program</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Gross profit margin, non-GAAP</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Selling, General and Administrative Expenses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Selling, general and administrative expenses, GAAP</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Strategic Growth and Productivity Program</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Selling, general and administrative expenses, non-GAAP</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Basis Point</w:t>
            </w:r>
          </w:p>
        </w:tc>
      </w:tr>
      <w:tr>
        <w:trPr>
          <w:trHeight w:val="216"/>
        </w:trPr>
        <w:tc>
          <w:tcPr>
            <w:tcW w:w="11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8"/>
                <w:szCs w:val="18"/>
                <w:color w:val="auto"/>
              </w:rPr>
            </w:pPr>
          </w:p>
        </w:tc>
        <w:tc>
          <w:tcPr>
            <w:tcW w:w="11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11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60.2 %</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59.4 %</w:t>
            </w:r>
          </w:p>
        </w:tc>
        <w:tc>
          <w:tcPr>
            <w:tcW w:w="100" w:type="dxa"/>
            <w:vAlign w:val="bottom"/>
          </w:tcPr>
          <w:p>
            <w:pPr>
              <w:spacing w:after="0"/>
              <w:rPr>
                <w:sz w:val="16"/>
                <w:szCs w:val="16"/>
                <w:color w:val="auto"/>
              </w:rPr>
            </w:pPr>
          </w:p>
        </w:tc>
        <w:tc>
          <w:tcPr>
            <w:tcW w:w="11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80</w:t>
            </w:r>
          </w:p>
        </w:tc>
      </w:tr>
      <w:tr>
        <w:trPr>
          <w:trHeight w:val="216"/>
        </w:trPr>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160" w:type="dxa"/>
            <w:vAlign w:val="bottom"/>
          </w:tcPr>
          <w:p>
            <w:pPr>
              <w:spacing w:after="0"/>
              <w:rPr>
                <w:sz w:val="18"/>
                <w:szCs w:val="18"/>
                <w:color w:val="auto"/>
              </w:rPr>
            </w:pPr>
          </w:p>
        </w:tc>
      </w:tr>
      <w:tr>
        <w:trPr>
          <w:trHeight w:val="23"/>
        </w:trPr>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60.3 %</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59.4 %</w:t>
            </w:r>
          </w:p>
        </w:tc>
        <w:tc>
          <w:tcPr>
            <w:tcW w:w="100" w:type="dxa"/>
            <w:vAlign w:val="bottom"/>
          </w:tcPr>
          <w:p>
            <w:pPr>
              <w:spacing w:after="0"/>
              <w:rPr>
                <w:sz w:val="16"/>
                <w:szCs w:val="16"/>
                <w:color w:val="auto"/>
              </w:rPr>
            </w:pPr>
          </w:p>
        </w:tc>
        <w:tc>
          <w:tcPr>
            <w:tcW w:w="11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90</w:t>
            </w:r>
          </w:p>
        </w:tc>
      </w:tr>
      <w:tr>
        <w:trPr>
          <w:trHeight w:val="23"/>
        </w:trPr>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
        </w:trPr>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0" w:type="dxa"/>
            <w:vAlign w:val="bottom"/>
          </w:tcPr>
          <w:p>
            <w:pPr>
              <w:spacing w:after="0"/>
              <w:rPr>
                <w:sz w:val="16"/>
                <w:szCs w:val="16"/>
                <w:color w:val="auto"/>
              </w:rPr>
            </w:pPr>
          </w:p>
        </w:tc>
        <w:tc>
          <w:tcPr>
            <w:tcW w:w="8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2,111</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1,971</w:t>
            </w:r>
          </w:p>
        </w:tc>
      </w:tr>
      <w:tr>
        <w:trPr>
          <w:trHeight w:val="216"/>
        </w:trPr>
        <w:tc>
          <w:tcPr>
            <w:tcW w:w="26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2,102</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1,971</w:t>
            </w:r>
          </w:p>
        </w:tc>
      </w:tr>
      <w:tr>
        <w:trPr>
          <w:trHeight w:val="23"/>
        </w:trPr>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sectPr>
          <w:pgSz w:w="11900" w:h="16838" w:orient="portrait"/>
          <w:cols w:equalWidth="0" w:num="2">
            <w:col w:w="6780" w:space="720"/>
            <w:col w:w="3660"/>
          </w:cols>
          <w:pgMar w:left="340" w:top="817" w:right="399" w:bottom="1440" w:gutter="0" w:footer="0" w:header="0"/>
          <w:type w:val="continuous"/>
        </w:sect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Selling, General and Administrative Expenses as a Percentage of Net Sales</w:t>
      </w:r>
    </w:p>
    <w:p>
      <w:pPr>
        <w:spacing w:after="0" w:line="57" w:lineRule="exact"/>
        <w:rPr>
          <w:sz w:val="20"/>
          <w:szCs w:val="20"/>
          <w:color w:val="auto"/>
        </w:rPr>
      </w:pPr>
    </w:p>
    <w:p>
      <w:pPr>
        <w:ind w:right="2120"/>
        <w:spacing w:after="0" w:line="332" w:lineRule="auto"/>
        <w:rPr>
          <w:sz w:val="20"/>
          <w:szCs w:val="20"/>
          <w:color w:val="auto"/>
        </w:rPr>
      </w:pPr>
      <w:r>
        <w:rPr>
          <w:rFonts w:ascii="Times New Roman" w:cs="Times New Roman" w:eastAsia="Times New Roman" w:hAnsi="Times New Roman"/>
          <w:sz w:val="14"/>
          <w:szCs w:val="14"/>
          <w:color w:val="auto"/>
        </w:rPr>
        <w:t>Selling, general and administrative expenses as a percentage of Net sales, GAAP Strategic Growth and Productivity Program</w:t>
      </w:r>
    </w:p>
    <w:p>
      <w:pPr>
        <w:spacing w:after="0"/>
        <w:rPr>
          <w:sz w:val="20"/>
          <w:szCs w:val="20"/>
          <w:color w:val="auto"/>
        </w:rPr>
      </w:pPr>
      <w:r>
        <w:rPr>
          <w:rFonts w:ascii="Times New Roman" w:cs="Times New Roman" w:eastAsia="Times New Roman" w:hAnsi="Times New Roman"/>
          <w:sz w:val="14"/>
          <w:szCs w:val="14"/>
          <w:color w:val="auto"/>
        </w:rPr>
        <w:t>Selling, general and administrative expenses as a percentage of Net sales, non-GAAP</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(Income) Expense, Net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(income) expense, net, GAAP</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Strategic Growth and Productivity Program</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(income) expense, net, non-GAAP</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Basis Point</w:t>
            </w:r>
          </w:p>
        </w:tc>
      </w:tr>
      <w:tr>
        <w:trPr>
          <w:trHeight w:val="216"/>
        </w:trPr>
        <w:tc>
          <w:tcPr>
            <w:tcW w:w="11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8"/>
                <w:szCs w:val="18"/>
                <w:color w:val="auto"/>
              </w:rPr>
            </w:pPr>
          </w:p>
        </w:tc>
        <w:tc>
          <w:tcPr>
            <w:tcW w:w="11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11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39.3 %</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38.4 %</w:t>
            </w:r>
          </w:p>
        </w:tc>
        <w:tc>
          <w:tcPr>
            <w:tcW w:w="100" w:type="dxa"/>
            <w:vAlign w:val="bottom"/>
          </w:tcPr>
          <w:p>
            <w:pPr>
              <w:spacing w:after="0"/>
              <w:rPr>
                <w:sz w:val="16"/>
                <w:szCs w:val="16"/>
                <w:color w:val="auto"/>
              </w:rPr>
            </w:pPr>
          </w:p>
        </w:tc>
        <w:tc>
          <w:tcPr>
            <w:tcW w:w="11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90</w:t>
            </w:r>
          </w:p>
        </w:tc>
      </w:tr>
      <w:tr>
        <w:trPr>
          <w:trHeight w:val="216"/>
        </w:trPr>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160" w:type="dxa"/>
            <w:vAlign w:val="bottom"/>
          </w:tcPr>
          <w:p>
            <w:pPr>
              <w:spacing w:after="0"/>
              <w:rPr>
                <w:sz w:val="18"/>
                <w:szCs w:val="18"/>
                <w:color w:val="auto"/>
              </w:rPr>
            </w:pPr>
          </w:p>
        </w:tc>
      </w:tr>
      <w:tr>
        <w:trPr>
          <w:trHeight w:val="23"/>
        </w:trPr>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39.1 %</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38.4 %</w:t>
            </w:r>
          </w:p>
        </w:tc>
        <w:tc>
          <w:tcPr>
            <w:tcW w:w="100" w:type="dxa"/>
            <w:vAlign w:val="bottom"/>
          </w:tcPr>
          <w:p>
            <w:pPr>
              <w:spacing w:after="0"/>
              <w:rPr>
                <w:sz w:val="16"/>
                <w:szCs w:val="16"/>
                <w:color w:val="auto"/>
              </w:rPr>
            </w:pPr>
          </w:p>
        </w:tc>
        <w:tc>
          <w:tcPr>
            <w:tcW w:w="11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70</w:t>
            </w:r>
          </w:p>
        </w:tc>
      </w:tr>
      <w:tr>
        <w:trPr>
          <w:trHeight w:val="23"/>
        </w:trPr>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0" w:type="dxa"/>
            <w:vAlign w:val="bottom"/>
          </w:tcPr>
          <w:p>
            <w:pPr>
              <w:spacing w:after="0"/>
              <w:rPr>
                <w:sz w:val="16"/>
                <w:szCs w:val="16"/>
                <w:color w:val="auto"/>
              </w:rPr>
            </w:pPr>
          </w:p>
        </w:tc>
        <w:tc>
          <w:tcPr>
            <w:tcW w:w="8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w w:val="99"/>
              </w:rPr>
              <w:t>34</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w:t>
            </w:r>
          </w:p>
        </w:tc>
      </w:tr>
      <w:tr>
        <w:trPr>
          <w:trHeight w:val="216"/>
        </w:trPr>
        <w:tc>
          <w:tcPr>
            <w:tcW w:w="260" w:type="dxa"/>
            <w:vAlign w:val="bottom"/>
          </w:tcPr>
          <w:p>
            <w:pPr>
              <w:spacing w:after="0"/>
              <w:rPr>
                <w:sz w:val="18"/>
                <w:szCs w:val="18"/>
                <w:color w:val="auto"/>
              </w:rPr>
            </w:pPr>
          </w:p>
        </w:tc>
        <w:tc>
          <w:tcPr>
            <w:tcW w:w="88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w w:val="99"/>
              </w:rPr>
              <w:t>19</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w:t>
            </w:r>
          </w:p>
        </w:tc>
      </w:tr>
      <w:tr>
        <w:trPr>
          <w:trHeight w:val="23"/>
        </w:trPr>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780" w:space="720"/>
            <w:col w:w="3660"/>
          </w:cols>
          <w:pgMar w:left="340" w:top="817" w:right="399" w:bottom="1440" w:gutter="0" w:footer="0" w:header="0"/>
          <w:type w:val="continuous"/>
        </w:sectPr>
      </w:pP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Profit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Operating profit, GAAP</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Strategic Growth and Productivity Program</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Operating profit, non-GAAP</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Profit Margin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Operating profit margin, GAAP</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Strategic Growth and Productivity Program</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Operating profit margin, non-GAAP</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Non-Service Related Postretirement Costs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Non-service related postretirement costs, GAAP</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Strategic Growth and Productivity Program</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Non-service related postretirement costs, non-GAAP</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60" w:type="dxa"/>
            <w:vAlign w:val="bottom"/>
          </w:tcPr>
          <w:p>
            <w:pPr>
              <w:spacing w:after="0"/>
              <w:rPr>
                <w:sz w:val="16"/>
                <w:szCs w:val="16"/>
                <w:color w:val="auto"/>
              </w:rPr>
            </w:pPr>
          </w:p>
        </w:tc>
        <w:tc>
          <w:tcPr>
            <w:tcW w:w="8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6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1,088</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auto"/>
              </w:rPr>
              <w:t>1,059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252"/>
        </w:trPr>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27"/>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r>
        <w:trPr>
          <w:trHeight w:val="187"/>
        </w:trPr>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1,117</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auto"/>
              </w:rPr>
              <w:t>1,059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23"/>
        </w:trPr>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08"/>
        </w:trPr>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Basis Point</w:t>
            </w:r>
          </w:p>
        </w:tc>
      </w:tr>
      <w:tr>
        <w:trPr>
          <w:trHeight w:val="216"/>
        </w:trPr>
        <w:tc>
          <w:tcPr>
            <w:tcW w:w="260" w:type="dxa"/>
            <w:vAlign w:val="bottom"/>
          </w:tcPr>
          <w:p>
            <w:pPr>
              <w:spacing w:after="0"/>
              <w:rPr>
                <w:sz w:val="18"/>
                <w:szCs w:val="18"/>
                <w:color w:val="auto"/>
              </w:rPr>
            </w:pPr>
          </w:p>
        </w:tc>
        <w:tc>
          <w:tcPr>
            <w:tcW w:w="8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6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20.6 %</w:t>
            </w:r>
          </w:p>
        </w:tc>
        <w:tc>
          <w:tcPr>
            <w:tcW w:w="12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(30)</w:t>
            </w:r>
          </w:p>
        </w:tc>
      </w:tr>
      <w:tr>
        <w:trPr>
          <w:trHeight w:val="216"/>
        </w:trPr>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
        </w:trPr>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3"/>
        </w:trPr>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20.6 %</w:t>
            </w:r>
          </w:p>
        </w:tc>
        <w:tc>
          <w:tcPr>
            <w:tcW w:w="12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20</w:t>
            </w: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429"/>
        </w:trPr>
        <w:tc>
          <w:tcPr>
            <w:tcW w:w="260" w:type="dxa"/>
            <w:vAlign w:val="bottom"/>
          </w:tcPr>
          <w:p>
            <w:pPr>
              <w:spacing w:after="0"/>
              <w:rPr>
                <w:sz w:val="24"/>
                <w:szCs w:val="24"/>
                <w:color w:val="auto"/>
              </w:rPr>
            </w:pPr>
          </w:p>
        </w:tc>
        <w:tc>
          <w:tcPr>
            <w:tcW w:w="8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6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
        </w:trPr>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6"/>
        </w:trPr>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6"/>
        </w:trPr>
        <w:tc>
          <w:tcPr>
            <w:tcW w:w="26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4"/>
        </w:trPr>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6"/>
        </w:trPr>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4"/>
        </w:trPr>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780" w:space="720"/>
            <w:col w:w="3660"/>
          </w:cols>
          <w:pgMar w:left="340" w:top="817" w:right="399" w:bottom="1440" w:gutter="0" w:footer="0" w:header="0"/>
          <w:type w:val="continuous"/>
        </w:sectPr>
      </w:pP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The impact of non-GAAP adjustments may not necessarily equal the difference between “GAAP” and “non-GAAP” as a result of rounding.</w:t>
      </w:r>
    </w:p>
    <w:p>
      <w:pPr>
        <w:sectPr>
          <w:pgSz w:w="11900" w:h="16838" w:orient="portrait"/>
          <w:cols w:equalWidth="0" w:num="1">
            <w:col w:w="11160"/>
          </w:cols>
          <w:pgMar w:left="340" w:top="817" w:right="399" w:bottom="1440" w:gutter="0" w:footer="0" w:header="0"/>
          <w:type w:val="continuous"/>
        </w:sectPr>
      </w:pPr>
    </w:p>
    <w:bookmarkStart w:id="17" w:name="page18"/>
    <w:bookmarkEnd w:id="17"/>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Table 8</w:t>
      </w:r>
    </w:p>
    <w:p>
      <w:pPr>
        <w:spacing w:after="0" w:line="5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Continued</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40" w:type="dxa"/>
            <w:vAlign w:val="bottom"/>
            <w:gridSpan w:val="7"/>
          </w:tcPr>
          <w:p>
            <w:pPr>
              <w:jc w:val="center"/>
              <w:ind w:left="748"/>
              <w:spacing w:after="0"/>
              <w:rPr>
                <w:sz w:val="20"/>
                <w:szCs w:val="20"/>
                <w:color w:val="auto"/>
              </w:rPr>
            </w:pPr>
            <w:r>
              <w:rPr>
                <w:rFonts w:ascii="Times New Roman" w:cs="Times New Roman" w:eastAsia="Times New Roman" w:hAnsi="Times New Roman"/>
                <w:sz w:val="14"/>
                <w:szCs w:val="14"/>
                <w:b w:val="1"/>
                <w:bCs w:val="1"/>
                <w:color w:val="auto"/>
              </w:rPr>
              <w:t>Colgate-Palmolive Company</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Non-GAAP Reconciliations</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60" w:type="dxa"/>
            <w:vAlign w:val="bottom"/>
            <w:gridSpan w:val="9"/>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2026</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60" w:type="dxa"/>
            <w:vAlign w:val="bottom"/>
            <w:gridSpan w:val="11"/>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Amounts) (Unaudited)</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5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80" w:type="dxa"/>
            <w:vAlign w:val="bottom"/>
          </w:tcPr>
          <w:p>
            <w:pPr>
              <w:spacing w:after="0"/>
              <w:rPr>
                <w:sz w:val="12"/>
                <w:szCs w:val="12"/>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Less: Income</w:t>
            </w: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6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Attributable To</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Income Before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Provision For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Including</w:t>
            </w:r>
          </w:p>
        </w:tc>
        <w:tc>
          <w:tcPr>
            <w:tcW w:w="18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w w:val="98"/>
              </w:rPr>
              <w:t>Colgate-</w:t>
            </w: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Effective Income</w:t>
            </w:r>
          </w:p>
        </w:tc>
        <w:tc>
          <w:tcPr>
            <w:tcW w:w="1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8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Palmolive</w:t>
            </w: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0" w:type="dxa"/>
            <w:vAlign w:val="bottom"/>
          </w:tcPr>
          <w:p>
            <w:pPr>
              <w:spacing w:after="0"/>
              <w:rPr>
                <w:sz w:val="1"/>
                <w:szCs w:val="1"/>
                <w:color w:val="auto"/>
              </w:rPr>
            </w:pPr>
          </w:p>
        </w:tc>
      </w:tr>
      <w:tr>
        <w:trPr>
          <w:trHeight w:val="203"/>
        </w:trPr>
        <w:tc>
          <w:tcPr>
            <w:tcW w:w="25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Income Taxes</w:t>
            </w:r>
          </w:p>
        </w:tc>
        <w:tc>
          <w:tcPr>
            <w:tcW w:w="120" w:type="dxa"/>
            <w:vAlign w:val="bottom"/>
          </w:tcPr>
          <w:p>
            <w:pPr>
              <w:spacing w:after="0"/>
              <w:rPr>
                <w:sz w:val="17"/>
                <w:szCs w:val="17"/>
                <w:color w:val="auto"/>
              </w:rPr>
            </w:pPr>
          </w:p>
        </w:tc>
        <w:tc>
          <w:tcPr>
            <w:tcW w:w="1020" w:type="dxa"/>
            <w:vAlign w:val="bottom"/>
            <w:tcBorders>
              <w:bottom w:val="single" w:sz="8" w:color="auto"/>
            </w:tcBorders>
            <w:gridSpan w:val="3"/>
          </w:tcPr>
          <w:p>
            <w:pPr>
              <w:ind w:left="40"/>
              <w:spacing w:after="0" w:line="202" w:lineRule="exact"/>
              <w:rPr>
                <w:sz w:val="20"/>
                <w:szCs w:val="20"/>
                <w:color w:val="auto"/>
              </w:rPr>
            </w:pPr>
            <w:r>
              <w:rPr>
                <w:rFonts w:ascii="Times New Roman" w:cs="Times New Roman" w:eastAsia="Times New Roman" w:hAnsi="Times New Roman"/>
                <w:sz w:val="14"/>
                <w:szCs w:val="14"/>
                <w:b w:val="1"/>
                <w:bCs w:val="1"/>
                <w:color w:val="auto"/>
                <w:w w:val="99"/>
              </w:rPr>
              <w:t>Income Taxes</w:t>
            </w:r>
            <w:r>
              <w:rPr>
                <w:rFonts w:ascii="Times New Roman" w:cs="Times New Roman" w:eastAsia="Times New Roman" w:hAnsi="Times New Roman"/>
                <w:sz w:val="18"/>
                <w:szCs w:val="18"/>
                <w:b w:val="1"/>
                <w:bCs w:val="1"/>
                <w:color w:val="auto"/>
                <w:w w:val="99"/>
                <w:vertAlign w:val="superscript"/>
              </w:rPr>
              <w:t>(1)</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Company</w:t>
            </w:r>
          </w:p>
        </w:tc>
        <w:tc>
          <w:tcPr>
            <w:tcW w:w="120" w:type="dxa"/>
            <w:vAlign w:val="bottom"/>
          </w:tcPr>
          <w:p>
            <w:pPr>
              <w:spacing w:after="0"/>
              <w:rPr>
                <w:sz w:val="17"/>
                <w:szCs w:val="17"/>
                <w:color w:val="auto"/>
              </w:rPr>
            </w:pPr>
          </w:p>
        </w:tc>
        <w:tc>
          <w:tcPr>
            <w:tcW w:w="1140" w:type="dxa"/>
            <w:vAlign w:val="bottom"/>
            <w:tcBorders>
              <w:bottom w:val="single" w:sz="8" w:color="auto"/>
            </w:tcBorders>
          </w:tcPr>
          <w:p>
            <w:pPr>
              <w:jc w:val="right"/>
              <w:ind w:right="168"/>
              <w:spacing w:after="0" w:line="202" w:lineRule="exact"/>
              <w:rPr>
                <w:sz w:val="20"/>
                <w:szCs w:val="20"/>
                <w:color w:val="auto"/>
              </w:rPr>
            </w:pPr>
            <w:r>
              <w:rPr>
                <w:rFonts w:ascii="Times New Roman" w:cs="Times New Roman" w:eastAsia="Times New Roman" w:hAnsi="Times New Roman"/>
                <w:sz w:val="14"/>
                <w:szCs w:val="14"/>
                <w:b w:val="1"/>
                <w:bCs w:val="1"/>
                <w:color w:val="auto"/>
              </w:rPr>
              <w:t>Tax Rate</w:t>
            </w:r>
            <w:r>
              <w:rPr>
                <w:rFonts w:ascii="Times New Roman" w:cs="Times New Roman" w:eastAsia="Times New Roman" w:hAnsi="Times New Roman"/>
                <w:sz w:val="18"/>
                <w:szCs w:val="18"/>
                <w:b w:val="1"/>
                <w:bCs w:val="1"/>
                <w:color w:val="auto"/>
                <w:vertAlign w:val="superscript"/>
              </w:rPr>
              <w:t>(2)</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86"/>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As Reported GAAP</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23.6 %</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0.94</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Strategic Growth and Productivity Program</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0.03</w:t>
            </w:r>
          </w:p>
        </w:tc>
        <w:tc>
          <w:tcPr>
            <w:tcW w:w="0" w:type="dxa"/>
            <w:vAlign w:val="bottom"/>
          </w:tcPr>
          <w:p>
            <w:pPr>
              <w:spacing w:after="0"/>
              <w:rPr>
                <w:sz w:val="1"/>
                <w:szCs w:val="1"/>
                <w:color w:val="auto"/>
              </w:rPr>
            </w:pPr>
          </w:p>
        </w:tc>
      </w:tr>
      <w:tr>
        <w:trPr>
          <w:trHeight w:val="23"/>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Non-GAAP</w:t>
            </w: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560" w:type="dxa"/>
            <w:vAlign w:val="bottom"/>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23.3 %</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0.97</w:t>
            </w:r>
          </w:p>
        </w:tc>
        <w:tc>
          <w:tcPr>
            <w:tcW w:w="0" w:type="dxa"/>
            <w:vAlign w:val="bottom"/>
          </w:tcPr>
          <w:p>
            <w:pPr>
              <w:spacing w:after="0"/>
              <w:rPr>
                <w:sz w:val="1"/>
                <w:szCs w:val="1"/>
                <w:color w:val="auto"/>
              </w:rPr>
            </w:pPr>
          </w:p>
        </w:tc>
      </w:tr>
      <w:tr>
        <w:trPr>
          <w:trHeight w:val="23"/>
        </w:trPr>
        <w:tc>
          <w:tcPr>
            <w:tcW w:w="25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impact of non-GAAP adjustments may not necessarily equal the difference between “GAAP” and “non-GAAP” as a result of rounding.</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Notes:</w:t>
      </w:r>
    </w:p>
    <w:p>
      <w:pPr>
        <w:spacing w:after="0" w:line="27" w:lineRule="exact"/>
        <w:rPr>
          <w:sz w:val="20"/>
          <w:szCs w:val="20"/>
          <w:color w:val="auto"/>
        </w:rPr>
      </w:pPr>
    </w:p>
    <w:p>
      <w:pPr>
        <w:ind w:left="220" w:hanging="212"/>
        <w:spacing w:after="0"/>
        <w:tabs>
          <w:tab w:leader="none" w:pos="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income tax effect on non-GAAP items is calculated based upon the tax laws and statutory income tax rates applicable in the tax jurisdiction(s) of the underlying non-GAAP adjustment.</w:t>
      </w:r>
    </w:p>
    <w:p>
      <w:pPr>
        <w:spacing w:after="0" w:line="231" w:lineRule="exact"/>
        <w:rPr>
          <w:rFonts w:ascii="Times New Roman" w:cs="Times New Roman" w:eastAsia="Times New Roman" w:hAnsi="Times New Roman"/>
          <w:sz w:val="14"/>
          <w:szCs w:val="14"/>
          <w:color w:val="auto"/>
        </w:rPr>
      </w:pPr>
    </w:p>
    <w:p>
      <w:pPr>
        <w:ind w:firstLine="8"/>
        <w:spacing w:after="0" w:line="302" w:lineRule="auto"/>
        <w:tabs>
          <w:tab w:leader="none" w:pos="204"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non-GAAP items on the Company’s effective tax rate represents the difference in the effective tax rate calculated with and without the non-GAAP adjustment on Income before income taxes and Provision for income taxes.</w:t>
      </w:r>
    </w:p>
    <w:p>
      <w:pPr>
        <w:sectPr>
          <w:pgSz w:w="11900" w:h="16838" w:orient="portrait"/>
          <w:cols w:equalWidth="0" w:num="1">
            <w:col w:w="11200"/>
          </w:cols>
          <w:pgMar w:left="320" w:top="817" w:right="379" w:bottom="1440" w:gutter="0" w:footer="0" w:header="0"/>
        </w:sectPr>
      </w:pPr>
    </w:p>
    <w:bookmarkStart w:id="18" w:name="page19"/>
    <w:bookmarkEnd w:id="18"/>
    <w:p>
      <w:pPr>
        <w:ind w:left="10760"/>
        <w:spacing w:after="0"/>
        <w:rPr>
          <w:sz w:val="20"/>
          <w:szCs w:val="20"/>
          <w:color w:val="auto"/>
        </w:rPr>
      </w:pPr>
      <w:r>
        <w:rPr>
          <w:rFonts w:ascii="Times New Roman" w:cs="Times New Roman" w:eastAsia="Times New Roman" w:hAnsi="Times New Roman"/>
          <w:sz w:val="14"/>
          <w:szCs w:val="14"/>
          <w:b w:val="1"/>
          <w:bCs w:val="1"/>
          <w:color w:val="auto"/>
        </w:rPr>
        <w:t>Table 9</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4480" w:type="dxa"/>
            <w:vAlign w:val="bottom"/>
            <w:gridSpan w:val="2"/>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Colgate-Palmolive Company</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3140" w:type="dxa"/>
            <w:vAlign w:val="bottom"/>
          </w:tcPr>
          <w:p>
            <w:pPr>
              <w:spacing w:after="0"/>
              <w:rPr>
                <w:sz w:val="24"/>
                <w:szCs w:val="24"/>
                <w:color w:val="auto"/>
              </w:rPr>
            </w:pPr>
          </w:p>
        </w:tc>
        <w:tc>
          <w:tcPr>
            <w:tcW w:w="4480" w:type="dxa"/>
            <w:vAlign w:val="bottom"/>
            <w:gridSpan w:val="2"/>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Non-GAAP Reconciliations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140" w:type="dxa"/>
            <w:vAlign w:val="bottom"/>
          </w:tcPr>
          <w:p>
            <w:pPr>
              <w:spacing w:after="0"/>
              <w:rPr>
                <w:sz w:val="24"/>
                <w:szCs w:val="24"/>
                <w:color w:val="auto"/>
              </w:rPr>
            </w:pPr>
          </w:p>
        </w:tc>
        <w:tc>
          <w:tcPr>
            <w:tcW w:w="4480" w:type="dxa"/>
            <w:vAlign w:val="bottom"/>
            <w:gridSpan w:val="2"/>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2026 and 2025</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140" w:type="dxa"/>
            <w:vAlign w:val="bottom"/>
          </w:tcPr>
          <w:p>
            <w:pPr>
              <w:spacing w:after="0"/>
              <w:rPr>
                <w:sz w:val="24"/>
                <w:szCs w:val="24"/>
                <w:color w:val="auto"/>
              </w:rPr>
            </w:pPr>
          </w:p>
        </w:tc>
        <w:tc>
          <w:tcPr>
            <w:tcW w:w="4480" w:type="dxa"/>
            <w:vAlign w:val="bottom"/>
            <w:gridSpan w:val="2"/>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Amounts) (Unaudited)</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4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3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Gross profit, GAAP</w:t>
            </w:r>
          </w:p>
        </w:tc>
        <w:tc>
          <w:tcPr>
            <w:tcW w:w="4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140" w:type="dxa"/>
            <w:vAlign w:val="bottom"/>
            <w:vMerge w:val="continue"/>
          </w:tcPr>
          <w:p>
            <w:pPr>
              <w:spacing w:after="0"/>
              <w:rPr>
                <w:sz w:val="16"/>
                <w:szCs w:val="16"/>
                <w:color w:val="auto"/>
              </w:rPr>
            </w:pPr>
          </w:p>
        </w:tc>
        <w:tc>
          <w:tcPr>
            <w:tcW w:w="4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9,755</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9,105</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Strategic Growth and Productivity Program</w:t>
            </w:r>
          </w:p>
        </w:tc>
        <w:tc>
          <w:tcPr>
            <w:tcW w:w="4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Gross profit, non-GAAP</w:t>
            </w:r>
          </w:p>
        </w:tc>
        <w:tc>
          <w:tcPr>
            <w:tcW w:w="4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140" w:type="dxa"/>
            <w:vAlign w:val="bottom"/>
            <w:vMerge w:val="continue"/>
          </w:tcPr>
          <w:p>
            <w:pPr>
              <w:spacing w:after="0"/>
              <w:rPr>
                <w:sz w:val="16"/>
                <w:szCs w:val="16"/>
                <w:color w:val="auto"/>
              </w:rPr>
            </w:pPr>
          </w:p>
        </w:tc>
        <w:tc>
          <w:tcPr>
            <w:tcW w:w="4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9,762</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9,105</w:t>
            </w:r>
          </w:p>
        </w:tc>
        <w:tc>
          <w:tcPr>
            <w:tcW w:w="0" w:type="dxa"/>
            <w:vAlign w:val="bottom"/>
          </w:tcPr>
          <w:p>
            <w:pPr>
              <w:spacing w:after="0"/>
              <w:rPr>
                <w:sz w:val="1"/>
                <w:szCs w:val="1"/>
                <w:color w:val="auto"/>
              </w:rPr>
            </w:pPr>
          </w:p>
        </w:tc>
      </w:tr>
      <w:tr>
        <w:trPr>
          <w:trHeight w:val="23"/>
        </w:trPr>
        <w:tc>
          <w:tcPr>
            <w:tcW w:w="31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1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Selling, General and Administrative Expenses</w:t>
            </w:r>
          </w:p>
        </w:tc>
        <w:tc>
          <w:tcPr>
            <w:tcW w:w="300" w:type="dxa"/>
            <w:vAlign w:val="bottom"/>
          </w:tcPr>
          <w:p>
            <w:pPr>
              <w:spacing w:after="0"/>
              <w:rPr>
                <w:sz w:val="16"/>
                <w:szCs w:val="16"/>
                <w:color w:val="auto"/>
              </w:rPr>
            </w:pPr>
          </w:p>
        </w:tc>
        <w:tc>
          <w:tcPr>
            <w:tcW w:w="98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7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 GAAP</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300" w:type="dxa"/>
            <w:vAlign w:val="bottom"/>
            <w:vMerge w:val="continue"/>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6,316</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5,833</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4"/>
                <w:szCs w:val="14"/>
                <w:color w:val="auto"/>
              </w:rPr>
              <w:t>Strategic Growth and Productivity Program</w:t>
            </w:r>
          </w:p>
        </w:tc>
        <w:tc>
          <w:tcPr>
            <w:tcW w:w="300" w:type="dxa"/>
            <w:vAlign w:val="bottom"/>
          </w:tcPr>
          <w:p>
            <w:pPr>
              <w:spacing w:after="0"/>
              <w:rPr>
                <w:sz w:val="18"/>
                <w:szCs w:val="18"/>
                <w:color w:val="auto"/>
              </w:rPr>
            </w:pPr>
          </w:p>
        </w:tc>
        <w:tc>
          <w:tcPr>
            <w:tcW w:w="9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4"/>
                <w:szCs w:val="14"/>
                <w:color w:val="auto"/>
              </w:rPr>
              <w:t>ERISA litigation matter</w:t>
            </w:r>
          </w:p>
        </w:tc>
        <w:tc>
          <w:tcPr>
            <w:tcW w:w="3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8"/>
                <w:szCs w:val="18"/>
                <w:color w:val="auto"/>
              </w:rPr>
            </w:pPr>
          </w:p>
        </w:tc>
        <w:tc>
          <w:tcPr>
            <w:tcW w:w="9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3"/>
        </w:trPr>
        <w:tc>
          <w:tcPr>
            <w:tcW w:w="7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 non-GAAP</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300" w:type="dxa"/>
            <w:vAlign w:val="bottom"/>
            <w:vMerge w:val="continue"/>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6,296</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5,817</w:t>
            </w:r>
          </w:p>
        </w:tc>
        <w:tc>
          <w:tcPr>
            <w:tcW w:w="0" w:type="dxa"/>
            <w:vAlign w:val="bottom"/>
          </w:tcPr>
          <w:p>
            <w:pPr>
              <w:spacing w:after="0"/>
              <w:rPr>
                <w:sz w:val="1"/>
                <w:szCs w:val="1"/>
                <w:color w:val="auto"/>
              </w:rPr>
            </w:pPr>
          </w:p>
        </w:tc>
      </w:tr>
      <w:tr>
        <w:trPr>
          <w:trHeight w:val="23"/>
        </w:trPr>
        <w:tc>
          <w:tcPr>
            <w:tcW w:w="7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Basis Point</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Selling, General and Administrative Expenses as a Percentage of Net Sales</w:t>
            </w:r>
          </w:p>
        </w:tc>
        <w:tc>
          <w:tcPr>
            <w:tcW w:w="128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8"/>
                <w:szCs w:val="18"/>
                <w:color w:val="auto"/>
              </w:rPr>
            </w:pPr>
          </w:p>
        </w:tc>
        <w:tc>
          <w:tcPr>
            <w:tcW w:w="128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11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7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 as a percentage of Net sales, GAAP</w:t>
            </w: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300" w:type="dxa"/>
            <w:vAlign w:val="bottom"/>
            <w:vMerge w:val="continue"/>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39.3 %</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38.5 %</w:t>
            </w:r>
          </w:p>
        </w:tc>
        <w:tc>
          <w:tcPr>
            <w:tcW w:w="10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4"/>
                <w:szCs w:val="14"/>
                <w:color w:val="auto"/>
              </w:rPr>
              <w:t>Strategic Growth and Productivity Program</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4"/>
                <w:szCs w:val="14"/>
                <w:color w:val="auto"/>
              </w:rPr>
              <w:t>ERISA litigation matter</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7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 as a percentage of Net sales, non-GAAP</w:t>
            </w: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300" w:type="dxa"/>
            <w:vAlign w:val="bottom"/>
            <w:vMerge w:val="continue"/>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39.2 %</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38.4 %</w:t>
            </w:r>
          </w:p>
        </w:tc>
        <w:tc>
          <w:tcPr>
            <w:tcW w:w="10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23"/>
        </w:trPr>
        <w:tc>
          <w:tcPr>
            <w:tcW w:w="73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3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(Income) Expense, Net</w:t>
            </w:r>
          </w:p>
        </w:tc>
        <w:tc>
          <w:tcPr>
            <w:tcW w:w="300" w:type="dxa"/>
            <w:vAlign w:val="bottom"/>
          </w:tcPr>
          <w:p>
            <w:pPr>
              <w:spacing w:after="0"/>
              <w:rPr>
                <w:sz w:val="16"/>
                <w:szCs w:val="16"/>
                <w:color w:val="auto"/>
              </w:rPr>
            </w:pPr>
          </w:p>
        </w:tc>
        <w:tc>
          <w:tcPr>
            <w:tcW w:w="98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7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Other (income) expense, net, GAAP</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300" w:type="dxa"/>
            <w:vAlign w:val="bottom"/>
            <w:vMerge w:val="continue"/>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4"/>
                <w:szCs w:val="14"/>
                <w:color w:val="auto"/>
              </w:rPr>
              <w:t>Strategic Growth and Productivity Program</w:t>
            </w:r>
          </w:p>
        </w:tc>
        <w:tc>
          <w:tcPr>
            <w:tcW w:w="300" w:type="dxa"/>
            <w:vAlign w:val="bottom"/>
          </w:tcPr>
          <w:p>
            <w:pPr>
              <w:spacing w:after="0"/>
              <w:rPr>
                <w:sz w:val="18"/>
                <w:szCs w:val="18"/>
                <w:color w:val="auto"/>
              </w:rPr>
            </w:pPr>
          </w:p>
        </w:tc>
        <w:tc>
          <w:tcPr>
            <w:tcW w:w="9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4"/>
                <w:szCs w:val="14"/>
                <w:color w:val="auto"/>
              </w:rPr>
              <w:t>Acquisition-related costs</w:t>
            </w:r>
          </w:p>
        </w:tc>
        <w:tc>
          <w:tcPr>
            <w:tcW w:w="3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8"/>
                <w:szCs w:val="18"/>
                <w:color w:val="auto"/>
              </w:rPr>
            </w:pPr>
          </w:p>
        </w:tc>
        <w:tc>
          <w:tcPr>
            <w:tcW w:w="9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3"/>
        </w:trPr>
        <w:tc>
          <w:tcPr>
            <w:tcW w:w="7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Other (income) expense, net, non-GAAP</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300" w:type="dxa"/>
            <w:vAlign w:val="bottom"/>
            <w:vMerge w:val="continue"/>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3"/>
        </w:trPr>
        <w:tc>
          <w:tcPr>
            <w:tcW w:w="7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300" w:type="dxa"/>
            <w:vAlign w:val="bottom"/>
          </w:tcPr>
          <w:p>
            <w:pPr>
              <w:spacing w:after="0"/>
              <w:rPr>
                <w:sz w:val="16"/>
                <w:szCs w:val="16"/>
                <w:color w:val="auto"/>
              </w:rPr>
            </w:pPr>
          </w:p>
        </w:tc>
        <w:tc>
          <w:tcPr>
            <w:tcW w:w="980" w:type="dxa"/>
            <w:vAlign w:val="bottom"/>
          </w:tcPr>
          <w:p>
            <w:pPr>
              <w:jc w:val="right"/>
              <w:ind w:right="42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7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Operating profit, GAAP</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7300" w:type="dxa"/>
            <w:vAlign w:val="bottom"/>
            <w:vMerge w:val="continue"/>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3,069</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3,214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4"/>
                <w:szCs w:val="14"/>
                <w:color w:val="auto"/>
              </w:rPr>
              <w:t>Strategic Growth and Productivity Program</w:t>
            </w:r>
          </w:p>
        </w:tc>
        <w:tc>
          <w:tcPr>
            <w:tcW w:w="300" w:type="dxa"/>
            <w:vAlign w:val="bottom"/>
          </w:tcPr>
          <w:p>
            <w:pPr>
              <w:spacing w:after="0"/>
              <w:rPr>
                <w:sz w:val="18"/>
                <w:szCs w:val="18"/>
                <w:color w:val="auto"/>
              </w:rPr>
            </w:pPr>
          </w:p>
        </w:tc>
        <w:tc>
          <w:tcPr>
            <w:tcW w:w="98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4"/>
                <w:szCs w:val="14"/>
                <w:color w:val="auto"/>
              </w:rPr>
              <w:t>ERISA litigation matter</w:t>
            </w:r>
          </w:p>
        </w:tc>
        <w:tc>
          <w:tcPr>
            <w:tcW w:w="3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8"/>
                <w:szCs w:val="18"/>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7300" w:type="dxa"/>
            <w:vAlign w:val="bottom"/>
          </w:tcPr>
          <w:p>
            <w:pPr>
              <w:spacing w:after="0"/>
              <w:rPr>
                <w:sz w:val="20"/>
                <w:szCs w:val="20"/>
                <w:color w:val="auto"/>
              </w:rPr>
            </w:pPr>
            <w:r>
              <w:rPr>
                <w:rFonts w:ascii="Times New Roman" w:cs="Times New Roman" w:eastAsia="Times New Roman" w:hAnsi="Times New Roman"/>
                <w:sz w:val="14"/>
                <w:szCs w:val="14"/>
                <w:color w:val="auto"/>
              </w:rPr>
              <w:t>Acquisition-related costs</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7300" w:type="dxa"/>
            <w:vAlign w:val="bottom"/>
          </w:tcPr>
          <w:p>
            <w:pPr>
              <w:spacing w:after="0"/>
              <w:rPr>
                <w:sz w:val="20"/>
                <w:szCs w:val="20"/>
                <w:color w:val="auto"/>
              </w:rPr>
            </w:pPr>
            <w:r>
              <w:rPr>
                <w:rFonts w:ascii="Times New Roman" w:cs="Times New Roman" w:eastAsia="Times New Roman" w:hAnsi="Times New Roman"/>
                <w:sz w:val="14"/>
                <w:szCs w:val="14"/>
                <w:color w:val="auto"/>
              </w:rPr>
              <w:t>Operating profit, non-GAAP</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3,396</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3,240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23"/>
        </w:trPr>
        <w:tc>
          <w:tcPr>
            <w:tcW w:w="7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8"/>
        </w:trPr>
        <w:tc>
          <w:tcPr>
            <w:tcW w:w="7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Basis Point</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Profit Margin</w:t>
            </w:r>
          </w:p>
        </w:tc>
        <w:tc>
          <w:tcPr>
            <w:tcW w:w="300" w:type="dxa"/>
            <w:vAlign w:val="bottom"/>
          </w:tcPr>
          <w:p>
            <w:pPr>
              <w:spacing w:after="0"/>
              <w:rPr>
                <w:sz w:val="18"/>
                <w:szCs w:val="18"/>
                <w:color w:val="auto"/>
              </w:rPr>
            </w:pPr>
          </w:p>
        </w:tc>
        <w:tc>
          <w:tcPr>
            <w:tcW w:w="980" w:type="dxa"/>
            <w:vAlign w:val="bottom"/>
          </w:tcPr>
          <w:p>
            <w:pPr>
              <w:jc w:val="right"/>
              <w:ind w:right="42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7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Operating profit margin, GAAP</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3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19.1 %</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21.2 %</w:t>
            </w:r>
          </w:p>
        </w:tc>
        <w:tc>
          <w:tcPr>
            <w:tcW w:w="12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4"/>
                <w:szCs w:val="14"/>
                <w:color w:val="auto"/>
              </w:rPr>
              <w:t>Strategic Growth and Productivity Program</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4"/>
                <w:szCs w:val="14"/>
                <w:color w:val="auto"/>
              </w:rPr>
              <w:t>ERISA litigation matter</w:t>
            </w:r>
          </w:p>
        </w:tc>
        <w:tc>
          <w:tcPr>
            <w:tcW w:w="300" w:type="dxa"/>
            <w:vAlign w:val="bottom"/>
          </w:tcPr>
          <w:p>
            <w:pPr>
              <w:spacing w:after="0"/>
              <w:rPr>
                <w:sz w:val="18"/>
                <w:szCs w:val="18"/>
                <w:color w:val="auto"/>
              </w:rPr>
            </w:pPr>
          </w:p>
        </w:tc>
        <w:tc>
          <w:tcPr>
            <w:tcW w:w="108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4"/>
                <w:szCs w:val="14"/>
                <w:color w:val="auto"/>
              </w:rPr>
              <w:t>Acquisition-related costs</w:t>
            </w:r>
          </w:p>
        </w:tc>
        <w:tc>
          <w:tcPr>
            <w:tcW w:w="300" w:type="dxa"/>
            <w:vAlign w:val="bottom"/>
          </w:tcPr>
          <w:p>
            <w:pPr>
              <w:spacing w:after="0"/>
              <w:rPr>
                <w:sz w:val="18"/>
                <w:szCs w:val="18"/>
                <w:color w:val="auto"/>
              </w:rPr>
            </w:pPr>
          </w:p>
        </w:tc>
        <w:tc>
          <w:tcPr>
            <w:tcW w:w="108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7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Operating profit margin, non-GAAP</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3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21.2 %</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21.4 %</w:t>
            </w:r>
          </w:p>
        </w:tc>
        <w:tc>
          <w:tcPr>
            <w:tcW w:w="12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3"/>
        </w:trPr>
        <w:tc>
          <w:tcPr>
            <w:tcW w:w="7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8"/>
        </w:trPr>
        <w:tc>
          <w:tcPr>
            <w:tcW w:w="7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Non-Service Related Postretirement Costs</w:t>
            </w:r>
          </w:p>
        </w:tc>
        <w:tc>
          <w:tcPr>
            <w:tcW w:w="300" w:type="dxa"/>
            <w:vAlign w:val="bottom"/>
          </w:tcPr>
          <w:p>
            <w:pPr>
              <w:spacing w:after="0"/>
              <w:rPr>
                <w:sz w:val="24"/>
                <w:szCs w:val="24"/>
                <w:color w:val="auto"/>
              </w:rPr>
            </w:pPr>
          </w:p>
        </w:tc>
        <w:tc>
          <w:tcPr>
            <w:tcW w:w="980" w:type="dxa"/>
            <w:vAlign w:val="bottom"/>
          </w:tcPr>
          <w:p>
            <w:pPr>
              <w:jc w:val="right"/>
              <w:ind w:right="42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Non-service related postretirement costs, GAAP</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300" w:type="dxa"/>
            <w:vAlign w:val="bottom"/>
            <w:vMerge w:val="continue"/>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4"/>
                <w:szCs w:val="14"/>
                <w:color w:val="auto"/>
              </w:rPr>
              <w:t>Strategic Growth and Productivity Program</w:t>
            </w:r>
          </w:p>
        </w:tc>
        <w:tc>
          <w:tcPr>
            <w:tcW w:w="300" w:type="dxa"/>
            <w:vAlign w:val="bottom"/>
          </w:tcPr>
          <w:p>
            <w:pPr>
              <w:spacing w:after="0"/>
              <w:rPr>
                <w:sz w:val="18"/>
                <w:szCs w:val="18"/>
                <w:color w:val="auto"/>
              </w:rPr>
            </w:pPr>
          </w:p>
        </w:tc>
        <w:tc>
          <w:tcPr>
            <w:tcW w:w="98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4"/>
                <w:szCs w:val="14"/>
                <w:color w:val="auto"/>
              </w:rPr>
              <w:t>ERISA litigation matter</w:t>
            </w:r>
          </w:p>
        </w:tc>
        <w:tc>
          <w:tcPr>
            <w:tcW w:w="3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8"/>
                <w:szCs w:val="18"/>
                <w:color w:val="auto"/>
              </w:rPr>
            </w:pPr>
          </w:p>
        </w:tc>
        <w:tc>
          <w:tcPr>
            <w:tcW w:w="9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7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Non-service related postretirement costs, non-GAAP</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300" w:type="dxa"/>
            <w:vAlign w:val="bottom"/>
            <w:vMerge w:val="continue"/>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The impact of non-GAAP adjustments may not necessarily equal the difference between “GAAP” and “non-GAAP” as a result of rounding.</w:t>
      </w:r>
    </w:p>
    <w:p>
      <w:pPr>
        <w:sectPr>
          <w:pgSz w:w="11900" w:h="16838" w:orient="portrait"/>
          <w:cols w:equalWidth="0" w:num="1">
            <w:col w:w="11220"/>
          </w:cols>
          <w:pgMar w:left="340" w:top="817" w:right="339" w:bottom="1440" w:gutter="0" w:footer="0" w:header="0"/>
        </w:sectPr>
      </w:pPr>
    </w:p>
    <w:bookmarkStart w:id="19" w:name="page20"/>
    <w:bookmarkEnd w:id="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As Reported GAAP</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Strategic Growth and Productivity</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Program</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Non-GAAP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As Reported GAAP</w:t>
      </w:r>
    </w:p>
    <w:p>
      <w:pPr>
        <w:spacing w:after="0" w:line="69" w:lineRule="exact"/>
        <w:rPr>
          <w:sz w:val="20"/>
          <w:szCs w:val="20"/>
          <w:color w:val="auto"/>
        </w:rPr>
      </w:pPr>
    </w:p>
    <w:p>
      <w:pPr>
        <w:ind w:left="20" w:right="540"/>
        <w:spacing w:after="0" w:line="342" w:lineRule="auto"/>
        <w:rPr>
          <w:sz w:val="20"/>
          <w:szCs w:val="20"/>
          <w:color w:val="auto"/>
        </w:rPr>
      </w:pPr>
      <w:r>
        <w:rPr>
          <w:rFonts w:ascii="Times New Roman" w:cs="Times New Roman" w:eastAsia="Times New Roman" w:hAnsi="Times New Roman"/>
          <w:sz w:val="14"/>
          <w:szCs w:val="14"/>
          <w:color w:val="auto"/>
        </w:rPr>
        <w:t>ERISA litigation matter Acquisition-related costs Non-GAAP</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Table 9</w:t>
      </w:r>
    </w:p>
    <w:p>
      <w:pPr>
        <w:spacing w:after="0" w:line="5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Continued</w:t>
      </w:r>
    </w:p>
    <w:p>
      <w:pPr>
        <w:spacing w:after="0" w:line="5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b w:val="1"/>
          <w:bCs w:val="1"/>
          <w:color w:val="auto"/>
        </w:rPr>
        <w:t>Colgate-Palmolive Company</w:t>
      </w:r>
    </w:p>
    <w:p>
      <w:pPr>
        <w:spacing w:after="0" w:line="27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4"/>
          <w:szCs w:val="14"/>
          <w:b w:val="1"/>
          <w:bCs w:val="1"/>
          <w:color w:val="auto"/>
        </w:rPr>
        <w:t>Non-GAAP Reconciliations</w:t>
      </w:r>
    </w:p>
    <w:p>
      <w:pPr>
        <w:spacing w:after="0" w:line="27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2026 and 2025</w:t>
      </w:r>
    </w:p>
    <w:p>
      <w:pPr>
        <w:spacing w:after="0" w:line="27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Amounts) (Unaudited)</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56661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66105" cy="825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Provision For</w:t>
            </w:r>
          </w:p>
        </w:tc>
        <w:tc>
          <w:tcPr>
            <w:tcW w:w="16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60" w:type="dxa"/>
            <w:vAlign w:val="bottom"/>
          </w:tcPr>
          <w:p>
            <w:pPr>
              <w:spacing w:after="0"/>
              <w:rPr>
                <w:sz w:val="13"/>
                <w:szCs w:val="13"/>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Less: Income</w:t>
            </w:r>
          </w:p>
        </w:tc>
        <w:tc>
          <w:tcPr>
            <w:tcW w:w="100" w:type="dxa"/>
            <w:vAlign w:val="bottom"/>
          </w:tcPr>
          <w:p>
            <w:pPr>
              <w:spacing w:after="0"/>
              <w:rPr>
                <w:sz w:val="13"/>
                <w:szCs w:val="13"/>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Diluted</w:t>
            </w: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Before</w:t>
            </w:r>
          </w:p>
        </w:tc>
        <w:tc>
          <w:tcPr>
            <w:tcW w:w="10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Including</w:t>
            </w:r>
          </w:p>
        </w:tc>
        <w:tc>
          <w:tcPr>
            <w:tcW w:w="160" w:type="dxa"/>
            <w:vAlign w:val="bottom"/>
          </w:tcPr>
          <w:p>
            <w:pPr>
              <w:spacing w:after="0"/>
              <w:rPr>
                <w:sz w:val="12"/>
                <w:szCs w:val="12"/>
                <w:color w:val="auto"/>
              </w:rPr>
            </w:pPr>
          </w:p>
        </w:tc>
        <w:tc>
          <w:tcPr>
            <w:tcW w:w="12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100" w:type="dxa"/>
            <w:vAlign w:val="bottom"/>
          </w:tcPr>
          <w:p>
            <w:pPr>
              <w:spacing w:after="0"/>
              <w:rPr>
                <w:sz w:val="12"/>
                <w:szCs w:val="12"/>
                <w:color w:val="auto"/>
              </w:rPr>
            </w:pPr>
          </w:p>
        </w:tc>
        <w:tc>
          <w:tcPr>
            <w:tcW w:w="118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Effective Income</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16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2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Colgate-Palmolive</w:t>
            </w:r>
          </w:p>
        </w:tc>
        <w:tc>
          <w:tcPr>
            <w:tcW w:w="14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Taxes</w:t>
            </w:r>
          </w:p>
        </w:tc>
        <w:tc>
          <w:tcPr>
            <w:tcW w:w="16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Taxes</w:t>
            </w:r>
            <w:r>
              <w:rPr>
                <w:rFonts w:ascii="Times New Roman" w:cs="Times New Roman" w:eastAsia="Times New Roman" w:hAnsi="Times New Roman"/>
                <w:sz w:val="9"/>
                <w:szCs w:val="9"/>
                <w:b w:val="1"/>
                <w:bCs w:val="1"/>
                <w:color w:val="auto"/>
                <w:w w:val="96"/>
              </w:rPr>
              <w:t>(1)</w:t>
            </w: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7"/>
                <w:szCs w:val="17"/>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40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w w:val="95"/>
              </w:rPr>
              <w:t>Tax Rate</w:t>
            </w:r>
            <w:r>
              <w:rPr>
                <w:rFonts w:ascii="Times New Roman" w:cs="Times New Roman" w:eastAsia="Times New Roman" w:hAnsi="Times New Roman"/>
                <w:sz w:val="18"/>
                <w:szCs w:val="18"/>
                <w:b w:val="1"/>
                <w:bCs w:val="1"/>
                <w:color w:val="auto"/>
                <w:w w:val="95"/>
                <w:vertAlign w:val="superscript"/>
              </w:rPr>
              <w:t>(2)</w:t>
            </w:r>
          </w:p>
        </w:tc>
        <w:tc>
          <w:tcPr>
            <w:tcW w:w="160" w:type="dxa"/>
            <w:vAlign w:val="bottom"/>
          </w:tcPr>
          <w:p>
            <w:pPr>
              <w:spacing w:after="0"/>
              <w:rPr>
                <w:sz w:val="17"/>
                <w:szCs w:val="17"/>
                <w:color w:val="auto"/>
              </w:rPr>
            </w:pPr>
          </w:p>
        </w:tc>
        <w:tc>
          <w:tcPr>
            <w:tcW w:w="8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86"/>
        </w:trPr>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2,863</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2,181</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Pr>
          <w:p>
            <w:pPr>
              <w:spacing w:after="0"/>
              <w:rPr>
                <w:sz w:val="16"/>
                <w:szCs w:val="16"/>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2,090</w:t>
            </w:r>
          </w:p>
        </w:tc>
        <w:tc>
          <w:tcPr>
            <w:tcW w:w="100" w:type="dxa"/>
            <w:vAlign w:val="bottom"/>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23.8 %</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0" w:type="dxa"/>
            <w:vAlign w:val="bottom"/>
          </w:tcPr>
          <w:p>
            <w:pPr>
              <w:spacing w:after="0"/>
              <w:rPr>
                <w:sz w:val="1"/>
                <w:szCs w:val="1"/>
                <w:color w:val="auto"/>
              </w:rPr>
            </w:pPr>
          </w:p>
        </w:tc>
      </w:tr>
      <w:tr>
        <w:trPr>
          <w:trHeight w:val="351"/>
        </w:trPr>
        <w:tc>
          <w:tcPr>
            <w:tcW w:w="120" w:type="dxa"/>
            <w:vAlign w:val="bottom"/>
          </w:tcPr>
          <w:p>
            <w:pPr>
              <w:spacing w:after="0"/>
              <w:rPr>
                <w:sz w:val="24"/>
                <w:szCs w:val="24"/>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0" w:type="dxa"/>
            <w:vAlign w:val="bottom"/>
          </w:tcPr>
          <w:p>
            <w:pPr>
              <w:spacing w:after="0"/>
              <w:rPr>
                <w:sz w:val="1"/>
                <w:szCs w:val="1"/>
                <w:color w:val="auto"/>
              </w:rPr>
            </w:pPr>
          </w:p>
        </w:tc>
      </w:tr>
      <w:tr>
        <w:trPr>
          <w:trHeight w:val="23"/>
        </w:trPr>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3,196</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2,359</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23.3 %</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0" w:type="dxa"/>
            <w:vAlign w:val="bottom"/>
          </w:tcPr>
          <w:p>
            <w:pPr>
              <w:spacing w:after="0"/>
              <w:rPr>
                <w:sz w:val="1"/>
                <w:szCs w:val="1"/>
                <w:color w:val="auto"/>
              </w:rPr>
            </w:pPr>
          </w:p>
        </w:tc>
      </w:tr>
      <w:tr>
        <w:trPr>
          <w:trHeight w:val="23"/>
        </w:trPr>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6"/>
        </w:trPr>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Provision For</w:t>
            </w:r>
          </w:p>
        </w:tc>
        <w:tc>
          <w:tcPr>
            <w:tcW w:w="160" w:type="dxa"/>
            <w:vAlign w:val="bottom"/>
          </w:tcPr>
          <w:p>
            <w:pPr>
              <w:spacing w:after="0"/>
              <w:rPr>
                <w:sz w:val="12"/>
                <w:szCs w:val="12"/>
                <w:color w:val="auto"/>
              </w:rPr>
            </w:pPr>
          </w:p>
        </w:tc>
        <w:tc>
          <w:tcPr>
            <w:tcW w:w="128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160" w:type="dxa"/>
            <w:vAlign w:val="bottom"/>
          </w:tcPr>
          <w:p>
            <w:pPr>
              <w:spacing w:after="0"/>
              <w:rPr>
                <w:sz w:val="12"/>
                <w:szCs w:val="12"/>
                <w:color w:val="auto"/>
              </w:rPr>
            </w:pPr>
          </w:p>
        </w:tc>
        <w:tc>
          <w:tcPr>
            <w:tcW w:w="126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Less: Income</w:t>
            </w: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Diluted</w:t>
            </w: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Before</w:t>
            </w:r>
          </w:p>
        </w:tc>
        <w:tc>
          <w:tcPr>
            <w:tcW w:w="10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Including</w:t>
            </w:r>
          </w:p>
        </w:tc>
        <w:tc>
          <w:tcPr>
            <w:tcW w:w="160" w:type="dxa"/>
            <w:vAlign w:val="bottom"/>
          </w:tcPr>
          <w:p>
            <w:pPr>
              <w:spacing w:after="0"/>
              <w:rPr>
                <w:sz w:val="12"/>
                <w:szCs w:val="12"/>
                <w:color w:val="auto"/>
              </w:rPr>
            </w:pPr>
          </w:p>
        </w:tc>
        <w:tc>
          <w:tcPr>
            <w:tcW w:w="12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100" w:type="dxa"/>
            <w:vAlign w:val="bottom"/>
          </w:tcPr>
          <w:p>
            <w:pPr>
              <w:spacing w:after="0"/>
              <w:rPr>
                <w:sz w:val="12"/>
                <w:szCs w:val="12"/>
                <w:color w:val="auto"/>
              </w:rPr>
            </w:pPr>
          </w:p>
        </w:tc>
        <w:tc>
          <w:tcPr>
            <w:tcW w:w="118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Effective Income</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16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2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Colgate-Palmolive</w:t>
            </w:r>
          </w:p>
        </w:tc>
        <w:tc>
          <w:tcPr>
            <w:tcW w:w="14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Taxes</w:t>
            </w:r>
          </w:p>
        </w:tc>
        <w:tc>
          <w:tcPr>
            <w:tcW w:w="16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Taxes</w:t>
            </w:r>
            <w:r>
              <w:rPr>
                <w:rFonts w:ascii="Times New Roman" w:cs="Times New Roman" w:eastAsia="Times New Roman" w:hAnsi="Times New Roman"/>
                <w:sz w:val="9"/>
                <w:szCs w:val="9"/>
                <w:b w:val="1"/>
                <w:bCs w:val="1"/>
                <w:color w:val="auto"/>
                <w:w w:val="96"/>
              </w:rPr>
              <w:t>(1)</w:t>
            </w: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7"/>
                <w:szCs w:val="17"/>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40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w w:val="95"/>
              </w:rPr>
              <w:t>Tax Rate</w:t>
            </w:r>
            <w:r>
              <w:rPr>
                <w:rFonts w:ascii="Times New Roman" w:cs="Times New Roman" w:eastAsia="Times New Roman" w:hAnsi="Times New Roman"/>
                <w:sz w:val="18"/>
                <w:szCs w:val="18"/>
                <w:b w:val="1"/>
                <w:bCs w:val="1"/>
                <w:color w:val="auto"/>
                <w:w w:val="95"/>
                <w:vertAlign w:val="superscript"/>
              </w:rPr>
              <w:t>(2)</w:t>
            </w:r>
          </w:p>
        </w:tc>
        <w:tc>
          <w:tcPr>
            <w:tcW w:w="160" w:type="dxa"/>
            <w:vAlign w:val="bottom"/>
          </w:tcPr>
          <w:p>
            <w:pPr>
              <w:spacing w:after="0"/>
              <w:rPr>
                <w:sz w:val="17"/>
                <w:szCs w:val="17"/>
                <w:color w:val="auto"/>
              </w:rPr>
            </w:pPr>
          </w:p>
        </w:tc>
        <w:tc>
          <w:tcPr>
            <w:tcW w:w="8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86"/>
        </w:trPr>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2,951</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2,266</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Pr>
          <w:p>
            <w:pPr>
              <w:spacing w:after="0"/>
              <w:rPr>
                <w:sz w:val="16"/>
                <w:szCs w:val="16"/>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2,169</w:t>
            </w:r>
          </w:p>
        </w:tc>
        <w:tc>
          <w:tcPr>
            <w:tcW w:w="100" w:type="dxa"/>
            <w:vAlign w:val="bottom"/>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23.2 %</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0" w:type="dxa"/>
            <w:vAlign w:val="bottom"/>
          </w:tcPr>
          <w:p>
            <w:pPr>
              <w:spacing w:after="0"/>
              <w:rPr>
                <w:sz w:val="1"/>
                <w:szCs w:val="1"/>
                <w:color w:val="auto"/>
              </w:rPr>
            </w:pPr>
          </w:p>
        </w:tc>
      </w:tr>
      <w:tr>
        <w:trPr>
          <w:trHeight w:val="23"/>
        </w:trPr>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3,027</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2,228</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23.2 %</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23"/>
        </w:trPr>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000" w:space="320"/>
            <w:col w:w="8920"/>
          </w:cols>
          <w:pgMar w:left="320" w:top="1033" w:right="339" w:bottom="1440" w:gutter="0" w:footer="0" w:header="0"/>
        </w:sect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impact of non-GAAP adjustments may not necessarily equal the difference between “GAAP” and “non-GAAP” as a result of rounding.</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Notes:</w:t>
      </w:r>
    </w:p>
    <w:p>
      <w:pPr>
        <w:spacing w:after="0" w:line="27" w:lineRule="exact"/>
        <w:rPr>
          <w:sz w:val="20"/>
          <w:szCs w:val="20"/>
          <w:color w:val="auto"/>
        </w:rPr>
      </w:pPr>
    </w:p>
    <w:p>
      <w:pPr>
        <w:ind w:left="220" w:hanging="212"/>
        <w:spacing w:after="0"/>
        <w:tabs>
          <w:tab w:leader="none" w:pos="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income tax effect on non-GAAP items is calculated based upon the tax laws and statutory income tax rates applicable in the tax jurisdiction(s) of the underlying non-GAAP adjustment.</w:t>
      </w:r>
    </w:p>
    <w:p>
      <w:pPr>
        <w:spacing w:after="0" w:line="231" w:lineRule="exact"/>
        <w:rPr>
          <w:rFonts w:ascii="Times New Roman" w:cs="Times New Roman" w:eastAsia="Times New Roman" w:hAnsi="Times New Roman"/>
          <w:sz w:val="14"/>
          <w:szCs w:val="14"/>
          <w:color w:val="auto"/>
        </w:rPr>
      </w:pPr>
    </w:p>
    <w:p>
      <w:pPr>
        <w:ind w:right="40" w:firstLine="8"/>
        <w:spacing w:after="0" w:line="302" w:lineRule="auto"/>
        <w:tabs>
          <w:tab w:leader="none" w:pos="204"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non-GAAP items on the Company’s effective tax rate represents the difference in the effective tax rate calculated with and without the non-GAAP adjustment on Income before income taxes and Provision for income taxes.</w:t>
      </w:r>
    </w:p>
    <w:sectPr>
      <w:pgSz w:w="11900" w:h="16838" w:orient="portrait"/>
      <w:cols w:equalWidth="0" w:num="1">
        <w:col w:w="11240"/>
      </w:cols>
      <w:pgMar w:left="320" w:top="103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04"/>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2026-10-30T06:57:53Z</dcterms:created>
  <dcterms:modified xsi:type="dcterms:W3CDTF">2026-10-30T06:57:53Z</dcterms:modified>
</cp:coreProperties>
</file>